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636B1A" w14:textId="77777777" w:rsidR="00123B2F" w:rsidRDefault="00123B2F">
      <w:pPr>
        <w:rPr>
          <w:rFonts w:ascii="Times New Roman" w:eastAsia="Times New Roman" w:hAnsi="Times New Roman" w:cs="Times New Roman"/>
          <w:sz w:val="22"/>
          <w:szCs w:val="22"/>
        </w:rPr>
      </w:pPr>
    </w:p>
    <w:p w14:paraId="18636B1B" w14:textId="77777777" w:rsidR="00123B2F" w:rsidRDefault="003C3CEE">
      <w:pPr>
        <w:rPr>
          <w:rFonts w:ascii="Times New Roman" w:eastAsia="Times New Roman" w:hAnsi="Times New Roman" w:cs="Times New Roman"/>
          <w:sz w:val="22"/>
          <w:szCs w:val="22"/>
        </w:rPr>
      </w:pPr>
      <w:r>
        <w:rPr>
          <w:rFonts w:ascii="Times New Roman" w:eastAsia="Times New Roman" w:hAnsi="Times New Roman" w:cs="Times New Roman"/>
          <w:sz w:val="22"/>
          <w:szCs w:val="22"/>
        </w:rPr>
        <w:t>Bogotá D.C., 1 de enero de 2025..</w:t>
      </w:r>
    </w:p>
    <w:p w14:paraId="18636B1C" w14:textId="77777777" w:rsidR="00123B2F" w:rsidRDefault="00123B2F">
      <w:pPr>
        <w:rPr>
          <w:rFonts w:ascii="Times New Roman" w:eastAsia="Times New Roman" w:hAnsi="Times New Roman" w:cs="Times New Roman"/>
          <w:sz w:val="22"/>
          <w:szCs w:val="22"/>
        </w:rPr>
      </w:pPr>
    </w:p>
    <w:p w14:paraId="18636B1D" w14:textId="77777777" w:rsidR="00123B2F" w:rsidRDefault="00123B2F">
      <w:pPr>
        <w:rPr>
          <w:rFonts w:ascii="Times New Roman" w:eastAsia="Times New Roman" w:hAnsi="Times New Roman" w:cs="Times New Roman"/>
          <w:sz w:val="22"/>
          <w:szCs w:val="22"/>
        </w:rPr>
      </w:pPr>
    </w:p>
    <w:p w14:paraId="18636B1E" w14:textId="77777777" w:rsidR="00123B2F" w:rsidRDefault="003C3CEE">
      <w:pPr>
        <w:rPr>
          <w:rFonts w:ascii="Times New Roman" w:eastAsia="Times New Roman" w:hAnsi="Times New Roman" w:cs="Times New Roman"/>
          <w:sz w:val="22"/>
          <w:szCs w:val="22"/>
        </w:rPr>
      </w:pPr>
      <w:r>
        <w:rPr>
          <w:rFonts w:ascii="Times New Roman" w:eastAsia="Times New Roman" w:hAnsi="Times New Roman" w:cs="Times New Roman"/>
          <w:sz w:val="22"/>
          <w:szCs w:val="22"/>
        </w:rPr>
        <w:t>Doctora:</w:t>
      </w:r>
    </w:p>
    <w:p w14:paraId="18636B1F" w14:textId="77777777" w:rsidR="00123B2F" w:rsidRDefault="003C3CEE">
      <w:pPr>
        <w:rPr>
          <w:rFonts w:ascii="Times New Roman" w:eastAsia="Times New Roman" w:hAnsi="Times New Roman" w:cs="Times New Roman"/>
          <w:b/>
          <w:sz w:val="22"/>
          <w:szCs w:val="22"/>
          <w:highlight w:val="white"/>
        </w:rPr>
      </w:pPr>
      <w:r>
        <w:rPr>
          <w:rFonts w:ascii="Times New Roman" w:eastAsia="Times New Roman" w:hAnsi="Times New Roman" w:cs="Times New Roman"/>
          <w:b/>
          <w:sz w:val="22"/>
          <w:szCs w:val="22"/>
          <w:highlight w:val="white"/>
        </w:rPr>
        <w:t xml:space="preserve">LUZ ANGÉLICA VIZCAINO SOLANO. </w:t>
      </w:r>
    </w:p>
    <w:p w14:paraId="18636B20" w14:textId="77777777" w:rsidR="00123B2F" w:rsidRDefault="003C3CEE">
      <w:pPr>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Secretaria General de Organismo de Control.</w:t>
      </w:r>
    </w:p>
    <w:p w14:paraId="18636B21" w14:textId="77777777" w:rsidR="00123B2F" w:rsidRDefault="003C3CEE">
      <w:pPr>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Concejo de Bogotá D.C.</w:t>
      </w:r>
    </w:p>
    <w:p w14:paraId="18636B22" w14:textId="77777777" w:rsidR="00123B2F" w:rsidRDefault="003C3CEE">
      <w:pPr>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Ciudad.</w:t>
      </w:r>
    </w:p>
    <w:p w14:paraId="18636B23" w14:textId="77777777" w:rsidR="00123B2F" w:rsidRDefault="00123B2F">
      <w:pPr>
        <w:rPr>
          <w:rFonts w:ascii="Times New Roman" w:eastAsia="Times New Roman" w:hAnsi="Times New Roman" w:cs="Times New Roman"/>
          <w:b/>
          <w:sz w:val="22"/>
          <w:szCs w:val="22"/>
          <w:highlight w:val="white"/>
        </w:rPr>
      </w:pPr>
    </w:p>
    <w:p w14:paraId="18636B24" w14:textId="77777777" w:rsidR="00123B2F" w:rsidRDefault="00123B2F">
      <w:pPr>
        <w:rPr>
          <w:rFonts w:ascii="Times New Roman" w:eastAsia="Times New Roman" w:hAnsi="Times New Roman" w:cs="Times New Roman"/>
          <w:b/>
          <w:sz w:val="22"/>
          <w:szCs w:val="22"/>
          <w:highlight w:val="white"/>
        </w:rPr>
      </w:pPr>
    </w:p>
    <w:p w14:paraId="18636B25" w14:textId="77777777" w:rsidR="00123B2F" w:rsidRDefault="00123B2F">
      <w:pPr>
        <w:rPr>
          <w:rFonts w:ascii="Times New Roman" w:eastAsia="Times New Roman" w:hAnsi="Times New Roman" w:cs="Times New Roman"/>
          <w:sz w:val="22"/>
          <w:szCs w:val="22"/>
        </w:rPr>
      </w:pPr>
    </w:p>
    <w:p w14:paraId="18636B26" w14:textId="77777777" w:rsidR="00123B2F" w:rsidRDefault="00123B2F">
      <w:pPr>
        <w:rPr>
          <w:rFonts w:ascii="Times New Roman" w:eastAsia="Times New Roman" w:hAnsi="Times New Roman" w:cs="Times New Roman"/>
          <w:sz w:val="22"/>
          <w:szCs w:val="22"/>
        </w:rPr>
      </w:pPr>
    </w:p>
    <w:p w14:paraId="18636B27" w14:textId="77777777" w:rsidR="00123B2F" w:rsidRDefault="00123B2F">
      <w:pPr>
        <w:rPr>
          <w:rFonts w:ascii="Times New Roman" w:eastAsia="Times New Roman" w:hAnsi="Times New Roman" w:cs="Times New Roman"/>
          <w:sz w:val="22"/>
          <w:szCs w:val="22"/>
        </w:rPr>
      </w:pPr>
    </w:p>
    <w:p w14:paraId="18636B28" w14:textId="77777777" w:rsidR="00123B2F" w:rsidRDefault="003C3CEE">
      <w:pPr>
        <w:jc w:val="right"/>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Asunto: </w:t>
      </w:r>
      <w:r>
        <w:rPr>
          <w:rFonts w:ascii="Times New Roman" w:eastAsia="Times New Roman" w:hAnsi="Times New Roman" w:cs="Times New Roman"/>
          <w:sz w:val="22"/>
          <w:szCs w:val="22"/>
        </w:rPr>
        <w:t>Radicación Proyecto de Acuerdo.</w:t>
      </w:r>
    </w:p>
    <w:p w14:paraId="18636B29" w14:textId="77777777" w:rsidR="00123B2F" w:rsidRDefault="00123B2F">
      <w:pPr>
        <w:rPr>
          <w:rFonts w:ascii="Times New Roman" w:eastAsia="Times New Roman" w:hAnsi="Times New Roman" w:cs="Times New Roman"/>
          <w:sz w:val="22"/>
          <w:szCs w:val="22"/>
        </w:rPr>
      </w:pPr>
    </w:p>
    <w:p w14:paraId="18636B2A" w14:textId="77777777" w:rsidR="00123B2F" w:rsidRDefault="00123B2F">
      <w:pPr>
        <w:rPr>
          <w:rFonts w:ascii="Times New Roman" w:eastAsia="Times New Roman" w:hAnsi="Times New Roman" w:cs="Times New Roman"/>
          <w:sz w:val="22"/>
          <w:szCs w:val="22"/>
        </w:rPr>
      </w:pPr>
    </w:p>
    <w:p w14:paraId="18636B2B" w14:textId="77777777" w:rsidR="00123B2F" w:rsidRDefault="00123B2F">
      <w:pPr>
        <w:rPr>
          <w:rFonts w:ascii="Times New Roman" w:eastAsia="Times New Roman" w:hAnsi="Times New Roman" w:cs="Times New Roman"/>
          <w:sz w:val="22"/>
          <w:szCs w:val="22"/>
        </w:rPr>
      </w:pPr>
    </w:p>
    <w:p w14:paraId="18636B2C" w14:textId="77777777" w:rsidR="00123B2F" w:rsidRDefault="003C3CEE">
      <w:pPr>
        <w:rPr>
          <w:rFonts w:ascii="Times New Roman" w:eastAsia="Times New Roman" w:hAnsi="Times New Roman" w:cs="Times New Roman"/>
          <w:sz w:val="22"/>
          <w:szCs w:val="22"/>
        </w:rPr>
      </w:pPr>
      <w:r>
        <w:rPr>
          <w:rFonts w:ascii="Times New Roman" w:eastAsia="Times New Roman" w:hAnsi="Times New Roman" w:cs="Times New Roman"/>
          <w:sz w:val="22"/>
          <w:szCs w:val="22"/>
        </w:rPr>
        <w:t>Apreciada Doctora Vizcano:</w:t>
      </w:r>
    </w:p>
    <w:p w14:paraId="18636B2D" w14:textId="77777777" w:rsidR="00123B2F" w:rsidRDefault="00123B2F">
      <w:pPr>
        <w:rPr>
          <w:rFonts w:ascii="Times New Roman" w:eastAsia="Times New Roman" w:hAnsi="Times New Roman" w:cs="Times New Roman"/>
          <w:sz w:val="22"/>
          <w:szCs w:val="22"/>
        </w:rPr>
      </w:pPr>
    </w:p>
    <w:p w14:paraId="18636B2E" w14:textId="77777777" w:rsidR="00123B2F" w:rsidRDefault="00123B2F">
      <w:pPr>
        <w:rPr>
          <w:rFonts w:ascii="Times New Roman" w:eastAsia="Times New Roman" w:hAnsi="Times New Roman" w:cs="Times New Roman"/>
          <w:sz w:val="22"/>
          <w:szCs w:val="22"/>
        </w:rPr>
      </w:pPr>
    </w:p>
    <w:p w14:paraId="18636B2F" w14:textId="77777777" w:rsidR="00123B2F" w:rsidRDefault="00123B2F">
      <w:pPr>
        <w:jc w:val="both"/>
        <w:rPr>
          <w:rFonts w:ascii="Times New Roman" w:eastAsia="Times New Roman" w:hAnsi="Times New Roman" w:cs="Times New Roman"/>
          <w:sz w:val="22"/>
          <w:szCs w:val="22"/>
        </w:rPr>
      </w:pPr>
    </w:p>
    <w:p w14:paraId="18636B30"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Por medio de la presente y de conformidad con lo dispuesto en los artículos 65, 66 y 67 del Acuerdo 741 de 2019, modificado por el Acuerdo 837 de 2022, me permito radicar ante su despacho el Proyecto de Acuerdo </w:t>
      </w:r>
      <w:r>
        <w:rPr>
          <w:rFonts w:ascii="Times New Roman" w:eastAsia="Times New Roman" w:hAnsi="Times New Roman" w:cs="Times New Roman"/>
          <w:b/>
          <w:sz w:val="22"/>
          <w:szCs w:val="22"/>
        </w:rPr>
        <w:t>“</w:t>
      </w:r>
      <w:r>
        <w:rPr>
          <w:rFonts w:ascii="Times New Roman" w:eastAsia="Times New Roman" w:hAnsi="Times New Roman" w:cs="Times New Roman"/>
          <w:b/>
          <w:i/>
          <w:sz w:val="22"/>
          <w:szCs w:val="22"/>
        </w:rPr>
        <w:t>POR MEDIO DEL CUAL SE ESTABLECEN MEDIDAS PAR</w:t>
      </w:r>
      <w:r>
        <w:rPr>
          <w:rFonts w:ascii="Times New Roman" w:eastAsia="Times New Roman" w:hAnsi="Times New Roman" w:cs="Times New Roman"/>
          <w:b/>
          <w:i/>
          <w:sz w:val="22"/>
          <w:szCs w:val="22"/>
        </w:rPr>
        <w:t>A RECONOCER Y FORTALECER LA INDUSTRIA PANIFICADORA DEL DISTRITO CAPITAL Y SE DICTAN OTRAS DISPOSICIONES”.</w:t>
      </w:r>
    </w:p>
    <w:p w14:paraId="18636B31" w14:textId="77777777" w:rsidR="00123B2F" w:rsidRDefault="00123B2F">
      <w:pPr>
        <w:jc w:val="both"/>
        <w:rPr>
          <w:rFonts w:ascii="Times New Roman" w:eastAsia="Times New Roman" w:hAnsi="Times New Roman" w:cs="Times New Roman"/>
          <w:sz w:val="22"/>
          <w:szCs w:val="22"/>
        </w:rPr>
      </w:pPr>
    </w:p>
    <w:p w14:paraId="18636B32" w14:textId="77777777" w:rsidR="00123B2F" w:rsidRDefault="00123B2F">
      <w:pPr>
        <w:jc w:val="both"/>
        <w:rPr>
          <w:rFonts w:ascii="Times New Roman" w:eastAsia="Times New Roman" w:hAnsi="Times New Roman" w:cs="Times New Roman"/>
          <w:sz w:val="22"/>
          <w:szCs w:val="22"/>
        </w:rPr>
      </w:pPr>
    </w:p>
    <w:p w14:paraId="18636B33" w14:textId="77777777" w:rsidR="00123B2F" w:rsidRDefault="00123B2F">
      <w:pPr>
        <w:jc w:val="both"/>
        <w:rPr>
          <w:rFonts w:ascii="Times New Roman" w:eastAsia="Times New Roman" w:hAnsi="Times New Roman" w:cs="Times New Roman"/>
          <w:sz w:val="22"/>
          <w:szCs w:val="22"/>
        </w:rPr>
      </w:pPr>
    </w:p>
    <w:p w14:paraId="18636B34" w14:textId="77777777" w:rsidR="00123B2F" w:rsidRDefault="00123B2F">
      <w:pPr>
        <w:jc w:val="both"/>
        <w:rPr>
          <w:rFonts w:ascii="Times New Roman" w:eastAsia="Times New Roman" w:hAnsi="Times New Roman" w:cs="Times New Roman"/>
          <w:sz w:val="22"/>
          <w:szCs w:val="22"/>
        </w:rPr>
      </w:pPr>
    </w:p>
    <w:p w14:paraId="18636B35" w14:textId="440DD18B"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Cordialmente,</w:t>
      </w:r>
    </w:p>
    <w:p w14:paraId="18636B36" w14:textId="77777777" w:rsidR="00123B2F" w:rsidRDefault="00123B2F">
      <w:pPr>
        <w:jc w:val="both"/>
        <w:rPr>
          <w:rFonts w:ascii="Times New Roman" w:eastAsia="Times New Roman" w:hAnsi="Times New Roman" w:cs="Times New Roman"/>
          <w:sz w:val="22"/>
          <w:szCs w:val="22"/>
        </w:rPr>
      </w:pPr>
    </w:p>
    <w:p w14:paraId="18636B39" w14:textId="77777777" w:rsidR="00123B2F" w:rsidRDefault="00123B2F">
      <w:pPr>
        <w:jc w:val="both"/>
        <w:rPr>
          <w:rFonts w:ascii="Times New Roman" w:eastAsia="Times New Roman" w:hAnsi="Times New Roman" w:cs="Times New Roman"/>
          <w:sz w:val="22"/>
          <w:szCs w:val="22"/>
        </w:rPr>
      </w:pPr>
    </w:p>
    <w:p w14:paraId="18636B3A" w14:textId="77777777" w:rsidR="00123B2F" w:rsidRDefault="00123B2F">
      <w:pPr>
        <w:jc w:val="both"/>
        <w:rPr>
          <w:rFonts w:ascii="Times New Roman" w:eastAsia="Times New Roman" w:hAnsi="Times New Roman" w:cs="Times New Roman"/>
          <w:sz w:val="22"/>
          <w:szCs w:val="22"/>
        </w:rPr>
      </w:pPr>
    </w:p>
    <w:p w14:paraId="18636B3B" w14:textId="77777777" w:rsidR="00123B2F" w:rsidRDefault="00123B2F">
      <w:pPr>
        <w:jc w:val="both"/>
        <w:rPr>
          <w:rFonts w:ascii="Times New Roman" w:eastAsia="Times New Roman" w:hAnsi="Times New Roman" w:cs="Times New Roman"/>
          <w:sz w:val="22"/>
          <w:szCs w:val="22"/>
        </w:rPr>
      </w:pPr>
    </w:p>
    <w:p w14:paraId="18636B3C" w14:textId="77777777" w:rsidR="00123B2F" w:rsidRDefault="00123B2F">
      <w:pPr>
        <w:jc w:val="both"/>
        <w:rPr>
          <w:rFonts w:ascii="Times New Roman" w:eastAsia="Times New Roman" w:hAnsi="Times New Roman" w:cs="Times New Roman"/>
          <w:sz w:val="22"/>
          <w:szCs w:val="22"/>
        </w:rPr>
      </w:pPr>
    </w:p>
    <w:p w14:paraId="18636B3D" w14:textId="77777777" w:rsidR="00123B2F" w:rsidRDefault="003C3CEE">
      <w:pPr>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JULIÁN DAVID RODRÍGUEZ SASTOQUE.</w:t>
      </w:r>
    </w:p>
    <w:p w14:paraId="18636B3E"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Concejal de Bogotá D.C.</w:t>
      </w:r>
    </w:p>
    <w:p w14:paraId="18636B3F"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Partido Alianza Verde</w:t>
      </w:r>
    </w:p>
    <w:p w14:paraId="18636B40" w14:textId="77777777" w:rsidR="00123B2F" w:rsidRDefault="00123B2F">
      <w:pPr>
        <w:jc w:val="both"/>
        <w:rPr>
          <w:rFonts w:ascii="Times New Roman" w:eastAsia="Times New Roman" w:hAnsi="Times New Roman" w:cs="Times New Roman"/>
          <w:sz w:val="22"/>
          <w:szCs w:val="22"/>
        </w:rPr>
      </w:pPr>
    </w:p>
    <w:p w14:paraId="18636B41" w14:textId="604BAF92" w:rsidR="00123B2F" w:rsidRDefault="003C3CEE">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PROYECTO DE ACUERDO No. 023</w:t>
      </w:r>
      <w:r>
        <w:rPr>
          <w:rFonts w:ascii="Times New Roman" w:eastAsia="Times New Roman" w:hAnsi="Times New Roman" w:cs="Times New Roman"/>
          <w:b/>
          <w:sz w:val="22"/>
          <w:szCs w:val="22"/>
        </w:rPr>
        <w:t xml:space="preserve"> DE  2025</w:t>
      </w:r>
    </w:p>
    <w:p w14:paraId="18636B42" w14:textId="77777777" w:rsidR="00123B2F" w:rsidRDefault="00123B2F">
      <w:pPr>
        <w:jc w:val="center"/>
        <w:rPr>
          <w:rFonts w:ascii="Times New Roman" w:eastAsia="Times New Roman" w:hAnsi="Times New Roman" w:cs="Times New Roman"/>
          <w:b/>
          <w:sz w:val="22"/>
          <w:szCs w:val="22"/>
        </w:rPr>
      </w:pPr>
    </w:p>
    <w:p w14:paraId="18636B43" w14:textId="77777777" w:rsidR="00123B2F" w:rsidRDefault="003C3CEE">
      <w:pPr>
        <w:spacing w:line="276" w:lineRule="auto"/>
        <w:jc w:val="center"/>
        <w:rPr>
          <w:rFonts w:ascii="Times New Roman" w:eastAsia="Times New Roman" w:hAnsi="Times New Roman" w:cs="Times New Roman"/>
          <w:b/>
          <w:i/>
          <w:sz w:val="22"/>
          <w:szCs w:val="22"/>
        </w:rPr>
      </w:pPr>
      <w:r>
        <w:rPr>
          <w:rFonts w:ascii="Times New Roman" w:eastAsia="Times New Roman" w:hAnsi="Times New Roman" w:cs="Times New Roman"/>
          <w:b/>
          <w:i/>
          <w:sz w:val="22"/>
          <w:szCs w:val="22"/>
        </w:rPr>
        <w:t>“POR MEDIO DEL CUAL SE ESTABLECEN MEDIDAS PARA RECONOCER Y FORTALECER LA INDUSTRIA PANIFICADORA DEL DISTRITO CAPITAL Y SE DICTAN OTRAS DISPOSICIONES”</w:t>
      </w:r>
    </w:p>
    <w:p w14:paraId="18636B44" w14:textId="77777777" w:rsidR="00123B2F" w:rsidRDefault="00123B2F">
      <w:pPr>
        <w:rPr>
          <w:rFonts w:ascii="Times New Roman" w:eastAsia="Times New Roman" w:hAnsi="Times New Roman" w:cs="Times New Roman"/>
          <w:b/>
          <w:sz w:val="22"/>
          <w:szCs w:val="22"/>
        </w:rPr>
      </w:pPr>
    </w:p>
    <w:p w14:paraId="18636B45" w14:textId="77777777" w:rsidR="00123B2F" w:rsidRDefault="00123B2F">
      <w:pPr>
        <w:rPr>
          <w:rFonts w:ascii="Times New Roman" w:eastAsia="Times New Roman" w:hAnsi="Times New Roman" w:cs="Times New Roman"/>
          <w:b/>
          <w:sz w:val="22"/>
          <w:szCs w:val="22"/>
        </w:rPr>
      </w:pPr>
    </w:p>
    <w:p w14:paraId="18636B46" w14:textId="77777777" w:rsidR="00123B2F" w:rsidRDefault="003C3CEE">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1. OBJETO DEL PROYECTO</w:t>
      </w:r>
    </w:p>
    <w:p w14:paraId="18636B47" w14:textId="77777777" w:rsidR="00123B2F" w:rsidRDefault="00123B2F">
      <w:pPr>
        <w:spacing w:line="276" w:lineRule="auto"/>
        <w:jc w:val="center"/>
        <w:rPr>
          <w:rFonts w:ascii="Times New Roman" w:eastAsia="Times New Roman" w:hAnsi="Times New Roman" w:cs="Times New Roman"/>
          <w:b/>
          <w:sz w:val="22"/>
          <w:szCs w:val="22"/>
        </w:rPr>
      </w:pPr>
    </w:p>
    <w:p w14:paraId="18636B48" w14:textId="77777777" w:rsidR="00123B2F" w:rsidRDefault="003C3CEE">
      <w:pPr>
        <w:spacing w:line="360"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objeto del presente Proyecto es reconocer y fortalecer la industria panificad</w:t>
      </w:r>
      <w:r>
        <w:rPr>
          <w:rFonts w:ascii="Times New Roman" w:eastAsia="Times New Roman" w:hAnsi="Times New Roman" w:cs="Times New Roman"/>
          <w:sz w:val="22"/>
          <w:szCs w:val="22"/>
        </w:rPr>
        <w:t>ora de Bogotá D. C. como uno de los sectores claves de la economía de la ciudad que contribuye en la lucha contra el hambre y la desnutrición, la generación de empleo y la economía popular, por medio de medidas que dignifiquen la labor de todos los actores</w:t>
      </w:r>
      <w:r>
        <w:rPr>
          <w:rFonts w:ascii="Times New Roman" w:eastAsia="Times New Roman" w:hAnsi="Times New Roman" w:cs="Times New Roman"/>
          <w:sz w:val="22"/>
          <w:szCs w:val="22"/>
        </w:rPr>
        <w:t xml:space="preserve"> de la cadena productiva.</w:t>
      </w:r>
    </w:p>
    <w:p w14:paraId="18636B49" w14:textId="77777777" w:rsidR="00123B2F" w:rsidRDefault="00123B2F">
      <w:pPr>
        <w:spacing w:line="360" w:lineRule="auto"/>
        <w:jc w:val="both"/>
        <w:rPr>
          <w:rFonts w:ascii="Times New Roman" w:eastAsia="Times New Roman" w:hAnsi="Times New Roman" w:cs="Times New Roman"/>
          <w:sz w:val="22"/>
          <w:szCs w:val="22"/>
        </w:rPr>
      </w:pPr>
    </w:p>
    <w:p w14:paraId="18636B4A" w14:textId="77777777" w:rsidR="00123B2F" w:rsidRDefault="003C3CEE">
      <w:pPr>
        <w:spacing w:after="160" w:line="259"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2. EXPOSICIÓN DE MOTIVOS </w:t>
      </w:r>
    </w:p>
    <w:p w14:paraId="18636B4B" w14:textId="77777777" w:rsidR="00123B2F" w:rsidRDefault="00123B2F">
      <w:pPr>
        <w:spacing w:after="160" w:line="259" w:lineRule="auto"/>
        <w:jc w:val="center"/>
        <w:rPr>
          <w:rFonts w:ascii="Times New Roman" w:eastAsia="Times New Roman" w:hAnsi="Times New Roman" w:cs="Times New Roman"/>
          <w:b/>
          <w:sz w:val="22"/>
          <w:szCs w:val="22"/>
        </w:rPr>
      </w:pPr>
    </w:p>
    <w:p w14:paraId="18636B4C" w14:textId="77777777" w:rsidR="00123B2F" w:rsidRDefault="003C3CEE">
      <w:pPr>
        <w:spacing w:line="276" w:lineRule="auto"/>
        <w:rPr>
          <w:rFonts w:ascii="Times New Roman" w:eastAsia="Times New Roman" w:hAnsi="Times New Roman" w:cs="Times New Roman"/>
          <w:b/>
          <w:i/>
          <w:sz w:val="22"/>
          <w:szCs w:val="22"/>
        </w:rPr>
      </w:pPr>
      <w:r>
        <w:rPr>
          <w:rFonts w:ascii="Times New Roman" w:eastAsia="Times New Roman" w:hAnsi="Times New Roman" w:cs="Times New Roman"/>
          <w:b/>
          <w:i/>
          <w:sz w:val="22"/>
          <w:szCs w:val="22"/>
        </w:rPr>
        <w:t>2.1. Definición y análisis del problema</w:t>
      </w:r>
    </w:p>
    <w:p w14:paraId="18636B4D" w14:textId="77777777" w:rsidR="00123B2F" w:rsidRDefault="00123B2F">
      <w:pPr>
        <w:spacing w:line="276" w:lineRule="auto"/>
        <w:rPr>
          <w:rFonts w:ascii="Times New Roman" w:eastAsia="Times New Roman" w:hAnsi="Times New Roman" w:cs="Times New Roman"/>
          <w:b/>
          <w:sz w:val="22"/>
          <w:szCs w:val="22"/>
          <w:u w:val="single"/>
        </w:rPr>
      </w:pPr>
    </w:p>
    <w:p w14:paraId="18636B4E" w14:textId="77777777" w:rsidR="00123B2F" w:rsidRDefault="003C3CEE">
      <w:pPr>
        <w:spacing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2.1.1 El pan es fundamental para la soberanía alimentaria</w:t>
      </w:r>
    </w:p>
    <w:p w14:paraId="18636B4F" w14:textId="77777777" w:rsidR="00123B2F" w:rsidRDefault="00123B2F">
      <w:pPr>
        <w:spacing w:line="276" w:lineRule="auto"/>
        <w:jc w:val="both"/>
        <w:rPr>
          <w:rFonts w:ascii="Times New Roman" w:eastAsia="Times New Roman" w:hAnsi="Times New Roman" w:cs="Times New Roman"/>
          <w:sz w:val="22"/>
          <w:szCs w:val="22"/>
        </w:rPr>
      </w:pPr>
    </w:p>
    <w:p w14:paraId="18636B50"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pan es el primer alimento natural del ser humano. Somos el quinto país de la región con más consumo per cápita de pan con 22 kilos por año, además, el 70 % de los colombianos compran este producto porque lo consideran fundamental dentro de su canasta fa</w:t>
      </w:r>
      <w:r>
        <w:rPr>
          <w:rFonts w:ascii="Times New Roman" w:eastAsia="Times New Roman" w:hAnsi="Times New Roman" w:cs="Times New Roman"/>
          <w:sz w:val="22"/>
          <w:szCs w:val="22"/>
        </w:rPr>
        <w:t>miliar, según un estudio realizado por Taste Tomorrow</w:t>
      </w:r>
      <w:r>
        <w:rPr>
          <w:rFonts w:ascii="Times New Roman" w:eastAsia="Times New Roman" w:hAnsi="Times New Roman" w:cs="Times New Roman"/>
          <w:sz w:val="22"/>
          <w:szCs w:val="22"/>
          <w:vertAlign w:val="superscript"/>
        </w:rPr>
        <w:footnoteReference w:id="1"/>
      </w:r>
      <w:r>
        <w:rPr>
          <w:rFonts w:ascii="Times New Roman" w:eastAsia="Times New Roman" w:hAnsi="Times New Roman" w:cs="Times New Roman"/>
          <w:sz w:val="22"/>
          <w:szCs w:val="22"/>
        </w:rPr>
        <w:t>. El 98% de las familias en Colombia compran pan por lo menos una vez al año</w:t>
      </w:r>
      <w:r>
        <w:rPr>
          <w:rFonts w:ascii="Times New Roman" w:eastAsia="Times New Roman" w:hAnsi="Times New Roman" w:cs="Times New Roman"/>
          <w:sz w:val="22"/>
          <w:szCs w:val="22"/>
          <w:vertAlign w:val="superscript"/>
        </w:rPr>
        <w:footnoteReference w:id="2"/>
      </w:r>
      <w:r>
        <w:rPr>
          <w:rFonts w:ascii="Times New Roman" w:eastAsia="Times New Roman" w:hAnsi="Times New Roman" w:cs="Times New Roman"/>
          <w:sz w:val="22"/>
          <w:szCs w:val="22"/>
        </w:rPr>
        <w:t>. Los productos de panadería son bienes necesarios.</w:t>
      </w:r>
    </w:p>
    <w:p w14:paraId="18636B51" w14:textId="77777777" w:rsidR="00123B2F" w:rsidRDefault="00123B2F">
      <w:pPr>
        <w:spacing w:line="276" w:lineRule="auto"/>
        <w:jc w:val="both"/>
        <w:rPr>
          <w:rFonts w:ascii="Times New Roman" w:eastAsia="Times New Roman" w:hAnsi="Times New Roman" w:cs="Times New Roman"/>
          <w:sz w:val="22"/>
          <w:szCs w:val="22"/>
        </w:rPr>
      </w:pPr>
    </w:p>
    <w:p w14:paraId="18636B52"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pan y otros derivados del trigo son alimentos básicos en las dietas d</w:t>
      </w:r>
      <w:r>
        <w:rPr>
          <w:rFonts w:ascii="Times New Roman" w:eastAsia="Times New Roman" w:hAnsi="Times New Roman" w:cs="Times New Roman"/>
          <w:sz w:val="22"/>
          <w:szCs w:val="22"/>
        </w:rPr>
        <w:t xml:space="preserve">e los colombianos. El 98% de las familias colombianas compran pan en el año y lo hacen en promedio cada 13 días. Bogotá, Medellín y Atlántico son las regiones de mayor consumo de pan por hogar en el país, con un consumo </w:t>
      </w:r>
      <w:r>
        <w:rPr>
          <w:rFonts w:ascii="Times New Roman" w:eastAsia="Times New Roman" w:hAnsi="Times New Roman" w:cs="Times New Roman"/>
          <w:sz w:val="22"/>
          <w:szCs w:val="22"/>
        </w:rPr>
        <w:lastRenderedPageBreak/>
        <w:t>promedio de 11.5, 13.5 y 11.8 Kg, re</w:t>
      </w:r>
      <w:r>
        <w:rPr>
          <w:rFonts w:ascii="Times New Roman" w:eastAsia="Times New Roman" w:hAnsi="Times New Roman" w:cs="Times New Roman"/>
          <w:sz w:val="22"/>
          <w:szCs w:val="22"/>
        </w:rPr>
        <w:t>spectivamente, comparado con un consumo promedio de 11.1 Kg en el país (Grupo Bit, 2018)</w:t>
      </w:r>
      <w:r>
        <w:rPr>
          <w:rFonts w:ascii="Times New Roman" w:eastAsia="Times New Roman" w:hAnsi="Times New Roman" w:cs="Times New Roman"/>
          <w:sz w:val="22"/>
          <w:szCs w:val="22"/>
          <w:vertAlign w:val="superscript"/>
        </w:rPr>
        <w:footnoteReference w:id="3"/>
      </w:r>
      <w:r>
        <w:rPr>
          <w:rFonts w:ascii="Times New Roman" w:eastAsia="Times New Roman" w:hAnsi="Times New Roman" w:cs="Times New Roman"/>
          <w:sz w:val="22"/>
          <w:szCs w:val="22"/>
        </w:rPr>
        <w:t>.</w:t>
      </w:r>
    </w:p>
    <w:p w14:paraId="18636B53"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el país, según información de la firma Kantar Worldpanel Colombia, en 2019 el 98% de las familias consumió pan y el 70% de los encuestados afirmó consumir pan dia</w:t>
      </w:r>
      <w:r>
        <w:rPr>
          <w:rFonts w:ascii="Times New Roman" w:eastAsia="Times New Roman" w:hAnsi="Times New Roman" w:cs="Times New Roman"/>
          <w:sz w:val="22"/>
          <w:szCs w:val="22"/>
        </w:rPr>
        <w:t>riamente. A pesar del cambio en las tendencias de consumo, todavía el 65% de las familias adquieren el producto industrializado en los supermercados. Según información de uno de los fundadores del emprendimiento Bread Lovers que fusiona la tecnología con l</w:t>
      </w:r>
      <w:r>
        <w:rPr>
          <w:rFonts w:ascii="Times New Roman" w:eastAsia="Times New Roman" w:hAnsi="Times New Roman" w:cs="Times New Roman"/>
          <w:sz w:val="22"/>
          <w:szCs w:val="22"/>
        </w:rPr>
        <w:t>o saludable “</w:t>
      </w:r>
      <w:r>
        <w:rPr>
          <w:rFonts w:ascii="Times New Roman" w:eastAsia="Times New Roman" w:hAnsi="Times New Roman" w:cs="Times New Roman"/>
          <w:i/>
          <w:sz w:val="22"/>
          <w:szCs w:val="22"/>
        </w:rPr>
        <w:t>más del 51% de los encuestados estaría dispuesto a incluir un pan saludable en su alimentación diaria y el otro 39% podría considerarlo dependiendo de su sabor y costo, tan solo el 10% de los encuestados no incluirían pan fit en su alimentació</w:t>
      </w:r>
      <w:r>
        <w:rPr>
          <w:rFonts w:ascii="Times New Roman" w:eastAsia="Times New Roman" w:hAnsi="Times New Roman" w:cs="Times New Roman"/>
          <w:i/>
          <w:sz w:val="22"/>
          <w:szCs w:val="22"/>
        </w:rPr>
        <w:t>n</w:t>
      </w:r>
      <w:r>
        <w:rPr>
          <w:rFonts w:ascii="Times New Roman" w:eastAsia="Times New Roman" w:hAnsi="Times New Roman" w:cs="Times New Roman"/>
          <w:sz w:val="22"/>
          <w:szCs w:val="22"/>
        </w:rPr>
        <w:t>”</w:t>
      </w:r>
      <w:r>
        <w:rPr>
          <w:rFonts w:ascii="Times New Roman" w:eastAsia="Times New Roman" w:hAnsi="Times New Roman" w:cs="Times New Roman"/>
          <w:sz w:val="22"/>
          <w:szCs w:val="22"/>
          <w:vertAlign w:val="superscript"/>
        </w:rPr>
        <w:footnoteReference w:id="4"/>
      </w:r>
      <w:r>
        <w:rPr>
          <w:rFonts w:ascii="Times New Roman" w:eastAsia="Times New Roman" w:hAnsi="Times New Roman" w:cs="Times New Roman"/>
          <w:sz w:val="22"/>
          <w:szCs w:val="22"/>
        </w:rPr>
        <w:t>. En consecuencia, los alimentos derivados del trigo como productos de sectores de panadería, repostería, pastificio y galletería han logrado posicionarse como productos que constituyen la canasta familiar (Rankia, 2023)</w:t>
      </w:r>
      <w:r>
        <w:rPr>
          <w:rFonts w:ascii="Times New Roman" w:eastAsia="Times New Roman" w:hAnsi="Times New Roman" w:cs="Times New Roman"/>
          <w:sz w:val="22"/>
          <w:szCs w:val="22"/>
          <w:vertAlign w:val="superscript"/>
        </w:rPr>
        <w:footnoteReference w:id="5"/>
      </w:r>
      <w:r>
        <w:rPr>
          <w:rFonts w:ascii="Times New Roman" w:eastAsia="Times New Roman" w:hAnsi="Times New Roman" w:cs="Times New Roman"/>
          <w:sz w:val="22"/>
          <w:szCs w:val="22"/>
        </w:rPr>
        <w:t>.</w:t>
      </w:r>
    </w:p>
    <w:p w14:paraId="18636B54" w14:textId="77777777" w:rsidR="00123B2F" w:rsidRDefault="00123B2F">
      <w:pPr>
        <w:spacing w:line="276" w:lineRule="auto"/>
        <w:jc w:val="both"/>
        <w:rPr>
          <w:rFonts w:ascii="Times New Roman" w:eastAsia="Times New Roman" w:hAnsi="Times New Roman" w:cs="Times New Roman"/>
          <w:b/>
          <w:i/>
          <w:color w:val="FF0000"/>
          <w:sz w:val="22"/>
          <w:szCs w:val="22"/>
        </w:rPr>
      </w:pPr>
    </w:p>
    <w:p w14:paraId="18636B55" w14:textId="77777777" w:rsidR="00123B2F" w:rsidRDefault="003C3CEE">
      <w:pPr>
        <w:spacing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2.1.2. La importancia de la cadena productiva del pan para la economía del país</w:t>
      </w:r>
    </w:p>
    <w:p w14:paraId="18636B56" w14:textId="77777777" w:rsidR="00123B2F" w:rsidRDefault="00123B2F">
      <w:pPr>
        <w:spacing w:line="276" w:lineRule="auto"/>
        <w:rPr>
          <w:rFonts w:ascii="Times New Roman" w:eastAsia="Times New Roman" w:hAnsi="Times New Roman" w:cs="Times New Roman"/>
          <w:b/>
          <w:i/>
          <w:sz w:val="22"/>
          <w:szCs w:val="22"/>
        </w:rPr>
      </w:pPr>
    </w:p>
    <w:p w14:paraId="18636B57" w14:textId="77777777" w:rsidR="00123B2F" w:rsidRDefault="003C3CEE">
      <w:pPr>
        <w:spacing w:line="276" w:lineRule="auto"/>
        <w:rPr>
          <w:rFonts w:ascii="Times New Roman" w:eastAsia="Times New Roman" w:hAnsi="Times New Roman" w:cs="Times New Roman"/>
          <w:b/>
          <w:i/>
          <w:sz w:val="22"/>
          <w:szCs w:val="22"/>
        </w:rPr>
      </w:pPr>
      <w:r>
        <w:rPr>
          <w:rFonts w:ascii="Times New Roman" w:eastAsia="Times New Roman" w:hAnsi="Times New Roman" w:cs="Times New Roman"/>
          <w:b/>
          <w:i/>
          <w:sz w:val="22"/>
          <w:szCs w:val="22"/>
        </w:rPr>
        <w:t>2.1.2.1. Provisión de materias primas</w:t>
      </w:r>
    </w:p>
    <w:p w14:paraId="18636B58" w14:textId="77777777" w:rsidR="00123B2F" w:rsidRDefault="00123B2F">
      <w:pPr>
        <w:spacing w:line="276" w:lineRule="auto"/>
        <w:rPr>
          <w:rFonts w:ascii="Times New Roman" w:eastAsia="Times New Roman" w:hAnsi="Times New Roman" w:cs="Times New Roman"/>
          <w:b/>
          <w:i/>
          <w:sz w:val="22"/>
          <w:szCs w:val="22"/>
        </w:rPr>
      </w:pPr>
    </w:p>
    <w:p w14:paraId="18636B59"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Las materias primas utilizadas en la elaboración del pan corresponden a los insumos de harina, agua, sal, levadura y otros componentes. </w:t>
      </w:r>
      <w:r>
        <w:rPr>
          <w:rFonts w:ascii="Times New Roman" w:eastAsia="Times New Roman" w:hAnsi="Times New Roman" w:cs="Times New Roman"/>
          <w:sz w:val="22"/>
          <w:szCs w:val="22"/>
        </w:rPr>
        <w:t>Las primeras cuatro se utilizan para la elaboración del pan común, y la adición o ausencia de materias primas contribuye a la elaboración de pan especial. La harina, como uno de los componentes fundamentales, corresponde al producto obtenido de la molienda</w:t>
      </w:r>
      <w:r>
        <w:rPr>
          <w:rFonts w:ascii="Times New Roman" w:eastAsia="Times New Roman" w:hAnsi="Times New Roman" w:cs="Times New Roman"/>
          <w:sz w:val="22"/>
          <w:szCs w:val="22"/>
        </w:rPr>
        <w:t xml:space="preserve"> del endospermo de granos de trigo limpio. También pueden ser otros  granos  de  cereales de  leguminosas </w:t>
      </w:r>
      <w:r>
        <w:rPr>
          <w:rFonts w:ascii="Times New Roman" w:eastAsia="Times New Roman" w:hAnsi="Times New Roman" w:cs="Times New Roman"/>
          <w:sz w:val="22"/>
          <w:szCs w:val="22"/>
        </w:rPr>
        <w:lastRenderedPageBreak/>
        <w:t xml:space="preserve">como maíz,  harina, cebada, etc. Si en la harina aparece no sólo el endospermo, sino  todos  los  componentes  del  grano  se  llama  harina integral </w:t>
      </w:r>
      <w:r>
        <w:rPr>
          <w:rFonts w:ascii="Times New Roman" w:eastAsia="Times New Roman" w:hAnsi="Times New Roman" w:cs="Times New Roman"/>
          <w:sz w:val="22"/>
          <w:szCs w:val="22"/>
        </w:rPr>
        <w:t>(Mesas, 2002)</w:t>
      </w:r>
      <w:r>
        <w:rPr>
          <w:rFonts w:ascii="Times New Roman" w:eastAsia="Times New Roman" w:hAnsi="Times New Roman" w:cs="Times New Roman"/>
          <w:sz w:val="22"/>
          <w:szCs w:val="22"/>
          <w:vertAlign w:val="superscript"/>
        </w:rPr>
        <w:footnoteReference w:id="6"/>
      </w:r>
      <w:r>
        <w:rPr>
          <w:rFonts w:ascii="Times New Roman" w:eastAsia="Times New Roman" w:hAnsi="Times New Roman" w:cs="Times New Roman"/>
          <w:sz w:val="22"/>
          <w:szCs w:val="22"/>
        </w:rPr>
        <w:t>.</w:t>
      </w:r>
    </w:p>
    <w:p w14:paraId="18636B5A" w14:textId="77777777" w:rsidR="00123B2F" w:rsidRDefault="00123B2F">
      <w:pPr>
        <w:spacing w:line="276" w:lineRule="auto"/>
        <w:jc w:val="both"/>
        <w:rPr>
          <w:rFonts w:ascii="Times New Roman" w:eastAsia="Times New Roman" w:hAnsi="Times New Roman" w:cs="Times New Roman"/>
          <w:sz w:val="22"/>
          <w:szCs w:val="22"/>
        </w:rPr>
      </w:pPr>
    </w:p>
    <w:p w14:paraId="18636B5B"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molinería en Colombia comenzó cuando los indígenas usaban piedras para romper semillas y cereales hasta pulverizarlas para poder preparar sus alimentos. La relación entre la panadería y el trigo con la conquista de los españoles dio ini</w:t>
      </w:r>
      <w:r>
        <w:rPr>
          <w:rFonts w:ascii="Times New Roman" w:eastAsia="Times New Roman" w:hAnsi="Times New Roman" w:cs="Times New Roman"/>
          <w:sz w:val="22"/>
          <w:szCs w:val="22"/>
        </w:rPr>
        <w:t>cio a todo un intercambio culinario para potenciar sus beneficios (SICEX, 2019)</w:t>
      </w:r>
      <w:r>
        <w:rPr>
          <w:rFonts w:ascii="Times New Roman" w:eastAsia="Times New Roman" w:hAnsi="Times New Roman" w:cs="Times New Roman"/>
          <w:sz w:val="22"/>
          <w:szCs w:val="22"/>
          <w:vertAlign w:val="superscript"/>
        </w:rPr>
        <w:footnoteReference w:id="7"/>
      </w:r>
      <w:r>
        <w:rPr>
          <w:rFonts w:ascii="Times New Roman" w:eastAsia="Times New Roman" w:hAnsi="Times New Roman" w:cs="Times New Roman"/>
          <w:sz w:val="22"/>
          <w:szCs w:val="22"/>
        </w:rPr>
        <w:t xml:space="preserve">. </w:t>
      </w:r>
    </w:p>
    <w:p w14:paraId="18636B5C" w14:textId="77777777" w:rsidR="00123B2F" w:rsidRDefault="00123B2F">
      <w:pPr>
        <w:spacing w:line="276" w:lineRule="auto"/>
        <w:jc w:val="both"/>
        <w:rPr>
          <w:rFonts w:ascii="Times New Roman" w:eastAsia="Times New Roman" w:hAnsi="Times New Roman" w:cs="Times New Roman"/>
          <w:sz w:val="22"/>
          <w:szCs w:val="22"/>
        </w:rPr>
      </w:pPr>
    </w:p>
    <w:p w14:paraId="18636B5D"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Colombia anualmente el consumo interno de trigo supera los 1,3 millones de toneladas (Experto Panadero, 2022)</w:t>
      </w:r>
      <w:r>
        <w:rPr>
          <w:rFonts w:ascii="Times New Roman" w:eastAsia="Times New Roman" w:hAnsi="Times New Roman" w:cs="Times New Roman"/>
          <w:sz w:val="22"/>
          <w:szCs w:val="22"/>
          <w:vertAlign w:val="superscript"/>
        </w:rPr>
        <w:footnoteReference w:id="8"/>
      </w:r>
      <w:r>
        <w:rPr>
          <w:rFonts w:ascii="Times New Roman" w:eastAsia="Times New Roman" w:hAnsi="Times New Roman" w:cs="Times New Roman"/>
          <w:sz w:val="22"/>
          <w:szCs w:val="22"/>
        </w:rPr>
        <w:t>. Colombia produce solo el 0,3% del total de trigo que cons</w:t>
      </w:r>
      <w:r>
        <w:rPr>
          <w:rFonts w:ascii="Times New Roman" w:eastAsia="Times New Roman" w:hAnsi="Times New Roman" w:cs="Times New Roman"/>
          <w:sz w:val="22"/>
          <w:szCs w:val="22"/>
        </w:rPr>
        <w:t>ume. Desde 1991 con la apertura económica se redujeron progresivamente los aranceles, propiciando la disminución de la producción nacional de algunos alimentos, entre ellos el maíz, la soya, el trigo y el sorgo (El Colombiano, 2021)</w:t>
      </w:r>
      <w:r>
        <w:rPr>
          <w:rFonts w:ascii="Times New Roman" w:eastAsia="Times New Roman" w:hAnsi="Times New Roman" w:cs="Times New Roman"/>
          <w:sz w:val="22"/>
          <w:szCs w:val="22"/>
          <w:vertAlign w:val="superscript"/>
        </w:rPr>
        <w:footnoteReference w:id="9"/>
      </w:r>
      <w:r>
        <w:rPr>
          <w:rFonts w:ascii="Times New Roman" w:eastAsia="Times New Roman" w:hAnsi="Times New Roman" w:cs="Times New Roman"/>
          <w:sz w:val="22"/>
          <w:szCs w:val="22"/>
        </w:rPr>
        <w:t xml:space="preserve">. </w:t>
      </w:r>
    </w:p>
    <w:p w14:paraId="18636B5E" w14:textId="77777777" w:rsidR="00123B2F" w:rsidRDefault="00123B2F">
      <w:pPr>
        <w:spacing w:line="276" w:lineRule="auto"/>
        <w:jc w:val="both"/>
        <w:rPr>
          <w:rFonts w:ascii="Times New Roman" w:eastAsia="Times New Roman" w:hAnsi="Times New Roman" w:cs="Times New Roman"/>
          <w:sz w:val="22"/>
          <w:szCs w:val="22"/>
        </w:rPr>
      </w:pPr>
    </w:p>
    <w:p w14:paraId="18636B5F"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Actualmente, se imp</w:t>
      </w:r>
      <w:r>
        <w:rPr>
          <w:rFonts w:ascii="Times New Roman" w:eastAsia="Times New Roman" w:hAnsi="Times New Roman" w:cs="Times New Roman"/>
          <w:sz w:val="22"/>
          <w:szCs w:val="22"/>
        </w:rPr>
        <w:t>orta vía marítima el 99,7% del trigo que se usa para la producción de harina nacional, principalmente de Canadá y Estados Unidos. En virtud de las variables climáticas se han disminuido las siembras, los rendimientos de cosechas y la producción a nivel mun</w:t>
      </w:r>
      <w:r>
        <w:rPr>
          <w:rFonts w:ascii="Times New Roman" w:eastAsia="Times New Roman" w:hAnsi="Times New Roman" w:cs="Times New Roman"/>
          <w:sz w:val="22"/>
          <w:szCs w:val="22"/>
        </w:rPr>
        <w:t xml:space="preserve">dial. Por ejemplo, la cosecha de Canadá se disminuyó en un 33% por el aumento en la temperatura y hay una alta </w:t>
      </w:r>
      <w:r>
        <w:rPr>
          <w:rFonts w:ascii="Times New Roman" w:eastAsia="Times New Roman" w:hAnsi="Times New Roman" w:cs="Times New Roman"/>
          <w:sz w:val="22"/>
          <w:szCs w:val="22"/>
        </w:rPr>
        <w:lastRenderedPageBreak/>
        <w:t>demanda de maíz y soja por parte de China, lo que ha generado que otros países estén utilizando el trigo para alimentación animal (ANDI, 2021)</w:t>
      </w:r>
      <w:r>
        <w:rPr>
          <w:rFonts w:ascii="Times New Roman" w:eastAsia="Times New Roman" w:hAnsi="Times New Roman" w:cs="Times New Roman"/>
          <w:sz w:val="22"/>
          <w:szCs w:val="22"/>
          <w:vertAlign w:val="superscript"/>
        </w:rPr>
        <w:footnoteReference w:id="10"/>
      </w:r>
      <w:r>
        <w:rPr>
          <w:rFonts w:ascii="Times New Roman" w:eastAsia="Times New Roman" w:hAnsi="Times New Roman" w:cs="Times New Roman"/>
          <w:sz w:val="22"/>
          <w:szCs w:val="22"/>
        </w:rPr>
        <w:t xml:space="preserve">. </w:t>
      </w:r>
    </w:p>
    <w:p w14:paraId="18636B60" w14:textId="77777777" w:rsidR="00123B2F" w:rsidRDefault="00123B2F">
      <w:pPr>
        <w:spacing w:line="276" w:lineRule="auto"/>
        <w:jc w:val="both"/>
        <w:rPr>
          <w:rFonts w:ascii="Times New Roman" w:eastAsia="Times New Roman" w:hAnsi="Times New Roman" w:cs="Times New Roman"/>
          <w:sz w:val="22"/>
          <w:szCs w:val="22"/>
        </w:rPr>
      </w:pPr>
    </w:p>
    <w:p w14:paraId="18636B61"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cuanto a los demás componentes principales en la producción del pan, se encuentra la sal y la levadura. El consumo de sal en Colombia se considera que es cercano a lo estimado en otros países de las mismas características, es decir, por encima del lím</w:t>
      </w:r>
      <w:r>
        <w:rPr>
          <w:rFonts w:ascii="Times New Roman" w:eastAsia="Times New Roman" w:hAnsi="Times New Roman" w:cs="Times New Roman"/>
          <w:sz w:val="22"/>
          <w:szCs w:val="22"/>
        </w:rPr>
        <w:t>ite superior de consumo de sodio recomendado por las agencias internacionales, lo cual puede conducir a enfermedades cardiovasculares, la principal muerte a nivel nacional (MinSalud, 2023)</w:t>
      </w:r>
      <w:r>
        <w:rPr>
          <w:rFonts w:ascii="Times New Roman" w:eastAsia="Times New Roman" w:hAnsi="Times New Roman" w:cs="Times New Roman"/>
          <w:sz w:val="22"/>
          <w:szCs w:val="22"/>
          <w:vertAlign w:val="superscript"/>
        </w:rPr>
        <w:footnoteReference w:id="11"/>
      </w:r>
      <w:r>
        <w:rPr>
          <w:rFonts w:ascii="Times New Roman" w:eastAsia="Times New Roman" w:hAnsi="Times New Roman" w:cs="Times New Roman"/>
          <w:sz w:val="22"/>
          <w:szCs w:val="22"/>
        </w:rPr>
        <w:t>. En Colombia funcionan actualmente cinco salinas: Manaure, Galeraz</w:t>
      </w:r>
      <w:r>
        <w:rPr>
          <w:rFonts w:ascii="Times New Roman" w:eastAsia="Times New Roman" w:hAnsi="Times New Roman" w:cs="Times New Roman"/>
          <w:sz w:val="22"/>
          <w:szCs w:val="22"/>
        </w:rPr>
        <w:t>amba, Nemocón, Zipaquirá y Upín (Banco de la República, 2022)</w:t>
      </w:r>
      <w:r>
        <w:rPr>
          <w:rFonts w:ascii="Times New Roman" w:eastAsia="Times New Roman" w:hAnsi="Times New Roman" w:cs="Times New Roman"/>
          <w:sz w:val="22"/>
          <w:szCs w:val="22"/>
          <w:vertAlign w:val="superscript"/>
        </w:rPr>
        <w:footnoteReference w:id="12"/>
      </w:r>
      <w:r>
        <w:rPr>
          <w:rFonts w:ascii="Times New Roman" w:eastAsia="Times New Roman" w:hAnsi="Times New Roman" w:cs="Times New Roman"/>
          <w:sz w:val="22"/>
          <w:szCs w:val="22"/>
        </w:rPr>
        <w:t>.  La explotación de sal más grande de Colombia se encuentra en Manaure, La Guajira. Su capacidad es de un millón de toneladas anuales correspondientes al 70% de la capacidad total del país en e</w:t>
      </w:r>
      <w:r>
        <w:rPr>
          <w:rFonts w:ascii="Times New Roman" w:eastAsia="Times New Roman" w:hAnsi="Times New Roman" w:cs="Times New Roman"/>
          <w:sz w:val="22"/>
          <w:szCs w:val="22"/>
        </w:rPr>
        <w:t>ste campo (Banco de la República, 2003)</w:t>
      </w:r>
      <w:r>
        <w:rPr>
          <w:rFonts w:ascii="Times New Roman" w:eastAsia="Times New Roman" w:hAnsi="Times New Roman" w:cs="Times New Roman"/>
          <w:sz w:val="22"/>
          <w:szCs w:val="22"/>
          <w:vertAlign w:val="superscript"/>
        </w:rPr>
        <w:footnoteReference w:id="13"/>
      </w:r>
      <w:r>
        <w:rPr>
          <w:rFonts w:ascii="Times New Roman" w:eastAsia="Times New Roman" w:hAnsi="Times New Roman" w:cs="Times New Roman"/>
          <w:sz w:val="22"/>
          <w:szCs w:val="22"/>
        </w:rPr>
        <w:t>.</w:t>
      </w:r>
      <w:r>
        <w:rPr>
          <w:rFonts w:ascii="Times New Roman" w:eastAsia="Times New Roman" w:hAnsi="Times New Roman" w:cs="Times New Roman"/>
          <w:sz w:val="22"/>
          <w:szCs w:val="22"/>
        </w:rPr>
        <w:br/>
      </w:r>
    </w:p>
    <w:p w14:paraId="18636B62" w14:textId="77777777" w:rsidR="00123B2F" w:rsidRDefault="003C3CEE">
      <w:pPr>
        <w:spacing w:line="276" w:lineRule="auto"/>
        <w:jc w:val="both"/>
        <w:rPr>
          <w:rFonts w:ascii="Times New Roman" w:eastAsia="Times New Roman" w:hAnsi="Times New Roman" w:cs="Times New Roman"/>
          <w:b/>
          <w:i/>
          <w:sz w:val="22"/>
          <w:szCs w:val="22"/>
        </w:rPr>
      </w:pPr>
      <w:r>
        <w:rPr>
          <w:rFonts w:ascii="Times New Roman" w:eastAsia="Times New Roman" w:hAnsi="Times New Roman" w:cs="Times New Roman"/>
          <w:sz w:val="22"/>
          <w:szCs w:val="22"/>
        </w:rPr>
        <w:t>Por otro lado, el azúcar es uno de los ingredientes básicos aplicados en repostería y pastelería, cumpliendo tres funciones fundamentales: aportar sabor, color y textura a productos y elaboraciones de esta industr</w:t>
      </w:r>
      <w:r>
        <w:rPr>
          <w:rFonts w:ascii="Times New Roman" w:eastAsia="Times New Roman" w:hAnsi="Times New Roman" w:cs="Times New Roman"/>
          <w:sz w:val="22"/>
          <w:szCs w:val="22"/>
        </w:rPr>
        <w:t>ia (CEAC, 2021)</w:t>
      </w:r>
      <w:r>
        <w:rPr>
          <w:rFonts w:ascii="Times New Roman" w:eastAsia="Times New Roman" w:hAnsi="Times New Roman" w:cs="Times New Roman"/>
          <w:sz w:val="22"/>
          <w:szCs w:val="22"/>
          <w:vertAlign w:val="superscript"/>
        </w:rPr>
        <w:footnoteReference w:id="14"/>
      </w:r>
      <w:r>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br/>
      </w:r>
      <w:r>
        <w:rPr>
          <w:rFonts w:ascii="Times New Roman" w:eastAsia="Times New Roman" w:hAnsi="Times New Roman" w:cs="Times New Roman"/>
          <w:sz w:val="22"/>
          <w:szCs w:val="22"/>
        </w:rPr>
        <w:br/>
      </w:r>
      <w:r>
        <w:rPr>
          <w:rFonts w:ascii="Times New Roman" w:eastAsia="Times New Roman" w:hAnsi="Times New Roman" w:cs="Times New Roman"/>
          <w:b/>
          <w:i/>
          <w:sz w:val="22"/>
          <w:szCs w:val="22"/>
        </w:rPr>
        <w:t xml:space="preserve">2.1.2.2. Generación de empleo y productividad con el procesamiento y elaboración de productos </w:t>
      </w:r>
    </w:p>
    <w:p w14:paraId="18636B63" w14:textId="77777777" w:rsidR="00123B2F" w:rsidRDefault="00123B2F">
      <w:pPr>
        <w:spacing w:line="276" w:lineRule="auto"/>
        <w:jc w:val="both"/>
        <w:rPr>
          <w:rFonts w:ascii="Times New Roman" w:eastAsia="Times New Roman" w:hAnsi="Times New Roman" w:cs="Times New Roman"/>
          <w:sz w:val="22"/>
          <w:szCs w:val="22"/>
        </w:rPr>
      </w:pPr>
    </w:p>
    <w:p w14:paraId="18636B64"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Una vez llega el trigo a Colombia se generan las cadenas de molienda. En el territorio colombiano existen 40 plantas molineras ubicadas en B</w:t>
      </w:r>
      <w:r>
        <w:rPr>
          <w:rFonts w:ascii="Times New Roman" w:eastAsia="Times New Roman" w:hAnsi="Times New Roman" w:cs="Times New Roman"/>
          <w:sz w:val="22"/>
          <w:szCs w:val="22"/>
        </w:rPr>
        <w:t>ogotá, Cauca, Costa Atlántico, Cundinamarca, Nariño, Risaralda, Santander y Valle del Cauca. La cadena productiva de los molinos, reposterías y panaderías comprende varios eslabones, que van desde el procesamiento de los insumos hasta la producción de elem</w:t>
      </w:r>
      <w:r>
        <w:rPr>
          <w:rFonts w:ascii="Times New Roman" w:eastAsia="Times New Roman" w:hAnsi="Times New Roman" w:cs="Times New Roman"/>
          <w:sz w:val="22"/>
          <w:szCs w:val="22"/>
        </w:rPr>
        <w:t>entos más elaborados como el pan, las pastas, las tortas y similares (ANDI, 2022)</w:t>
      </w:r>
      <w:r>
        <w:rPr>
          <w:rFonts w:ascii="Times New Roman" w:eastAsia="Times New Roman" w:hAnsi="Times New Roman" w:cs="Times New Roman"/>
          <w:sz w:val="22"/>
          <w:szCs w:val="22"/>
          <w:vertAlign w:val="superscript"/>
        </w:rPr>
        <w:footnoteReference w:id="15"/>
      </w:r>
      <w:r>
        <w:rPr>
          <w:rFonts w:ascii="Times New Roman" w:eastAsia="Times New Roman" w:hAnsi="Times New Roman" w:cs="Times New Roman"/>
          <w:sz w:val="22"/>
          <w:szCs w:val="22"/>
        </w:rPr>
        <w:t xml:space="preserve">.  </w:t>
      </w:r>
    </w:p>
    <w:p w14:paraId="18636B65" w14:textId="77777777" w:rsidR="00123B2F" w:rsidRDefault="00123B2F">
      <w:pPr>
        <w:spacing w:line="276" w:lineRule="auto"/>
        <w:jc w:val="both"/>
        <w:rPr>
          <w:rFonts w:ascii="Times New Roman" w:eastAsia="Times New Roman" w:hAnsi="Times New Roman" w:cs="Times New Roman"/>
          <w:sz w:val="22"/>
          <w:szCs w:val="22"/>
        </w:rPr>
      </w:pPr>
    </w:p>
    <w:p w14:paraId="18636B66" w14:textId="77777777" w:rsidR="00123B2F" w:rsidRDefault="003C3CEE">
      <w:pPr>
        <w:spacing w:line="276" w:lineRule="auto"/>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rPr>
        <w:t>En e</w:t>
      </w:r>
      <w:r>
        <w:rPr>
          <w:rFonts w:ascii="Times New Roman" w:eastAsia="Times New Roman" w:hAnsi="Times New Roman" w:cs="Times New Roman"/>
          <w:sz w:val="22"/>
          <w:szCs w:val="22"/>
          <w:highlight w:val="white"/>
        </w:rPr>
        <w:t>l país se producen 1,9 millones de toneladas de harina de trigo para pan artesanal e industrial, 220.000 toneladas se destinan para galletas y 136.000 toneladas para pasta (Portafolio, 2022)</w:t>
      </w:r>
      <w:r>
        <w:rPr>
          <w:rFonts w:ascii="Times New Roman" w:eastAsia="Times New Roman" w:hAnsi="Times New Roman" w:cs="Times New Roman"/>
          <w:sz w:val="22"/>
          <w:szCs w:val="22"/>
          <w:highlight w:val="white"/>
          <w:vertAlign w:val="superscript"/>
        </w:rPr>
        <w:footnoteReference w:id="16"/>
      </w:r>
      <w:r>
        <w:rPr>
          <w:rFonts w:ascii="Times New Roman" w:eastAsia="Times New Roman" w:hAnsi="Times New Roman" w:cs="Times New Roman"/>
          <w:sz w:val="22"/>
          <w:szCs w:val="22"/>
          <w:highlight w:val="white"/>
        </w:rPr>
        <w:t>. Este sector genera aproximadamente 120.000 empleos directos e i</w:t>
      </w:r>
      <w:r>
        <w:rPr>
          <w:rFonts w:ascii="Times New Roman" w:eastAsia="Times New Roman" w:hAnsi="Times New Roman" w:cs="Times New Roman"/>
          <w:sz w:val="22"/>
          <w:szCs w:val="22"/>
          <w:highlight w:val="white"/>
        </w:rPr>
        <w:t>ndirectos</w:t>
      </w:r>
      <w:r>
        <w:rPr>
          <w:rFonts w:ascii="Times New Roman" w:eastAsia="Times New Roman" w:hAnsi="Times New Roman" w:cs="Times New Roman"/>
          <w:sz w:val="22"/>
          <w:szCs w:val="22"/>
          <w:vertAlign w:val="superscript"/>
        </w:rPr>
        <w:footnoteReference w:id="17"/>
      </w:r>
      <w:r>
        <w:rPr>
          <w:rFonts w:ascii="Times New Roman" w:eastAsia="Times New Roman" w:hAnsi="Times New Roman" w:cs="Times New Roman"/>
          <w:sz w:val="22"/>
          <w:szCs w:val="22"/>
        </w:rPr>
        <w:t>, aportando así a la generación de empleo digno y decente, así como al crecimiento económico y la productividad del país</w:t>
      </w:r>
      <w:r>
        <w:rPr>
          <w:rFonts w:ascii="Times New Roman" w:eastAsia="Times New Roman" w:hAnsi="Times New Roman" w:cs="Times New Roman"/>
          <w:sz w:val="22"/>
          <w:szCs w:val="22"/>
          <w:highlight w:val="white"/>
        </w:rPr>
        <w:t xml:space="preserve">. </w:t>
      </w:r>
    </w:p>
    <w:p w14:paraId="18636B67" w14:textId="77777777" w:rsidR="00123B2F" w:rsidRDefault="00123B2F">
      <w:pPr>
        <w:spacing w:line="276" w:lineRule="auto"/>
        <w:jc w:val="both"/>
        <w:rPr>
          <w:rFonts w:ascii="Times New Roman" w:eastAsia="Times New Roman" w:hAnsi="Times New Roman" w:cs="Times New Roman"/>
          <w:sz w:val="22"/>
          <w:szCs w:val="22"/>
        </w:rPr>
      </w:pPr>
    </w:p>
    <w:p w14:paraId="18636B68"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Dentro de la producción de alimentos nacional, la industria panificadora representa el 16%</w:t>
      </w:r>
      <w:r>
        <w:rPr>
          <w:rFonts w:ascii="Times New Roman" w:eastAsia="Times New Roman" w:hAnsi="Times New Roman" w:cs="Times New Roman"/>
          <w:sz w:val="22"/>
          <w:szCs w:val="22"/>
          <w:vertAlign w:val="superscript"/>
        </w:rPr>
        <w:footnoteReference w:id="18"/>
      </w:r>
      <w:r>
        <w:rPr>
          <w:rFonts w:ascii="Times New Roman" w:eastAsia="Times New Roman" w:hAnsi="Times New Roman" w:cs="Times New Roman"/>
          <w:sz w:val="22"/>
          <w:szCs w:val="22"/>
        </w:rPr>
        <w:t xml:space="preserve">. Un dato relevante de su gran </w:t>
      </w:r>
      <w:r>
        <w:rPr>
          <w:rFonts w:ascii="Times New Roman" w:eastAsia="Times New Roman" w:hAnsi="Times New Roman" w:cs="Times New Roman"/>
          <w:sz w:val="22"/>
          <w:szCs w:val="22"/>
        </w:rPr>
        <w:t>aporte al país, es que en la actualidad hay cerca de 25.000 panaderías. El primer lugar lo ocupa Bogotá con cerca de 8.000 establecimientos y seguida está la capital del Valle del Cauca con aproximadamente 2.500</w:t>
      </w:r>
      <w:r>
        <w:rPr>
          <w:rFonts w:ascii="Times New Roman" w:eastAsia="Times New Roman" w:hAnsi="Times New Roman" w:cs="Times New Roman"/>
          <w:sz w:val="22"/>
          <w:szCs w:val="22"/>
          <w:vertAlign w:val="superscript"/>
        </w:rPr>
        <w:footnoteReference w:id="19"/>
      </w:r>
      <w:r>
        <w:rPr>
          <w:rFonts w:ascii="Times New Roman" w:eastAsia="Times New Roman" w:hAnsi="Times New Roman" w:cs="Times New Roman"/>
          <w:sz w:val="22"/>
          <w:szCs w:val="22"/>
        </w:rPr>
        <w:t>. Las panaderías registran ventas por más de</w:t>
      </w:r>
      <w:r>
        <w:rPr>
          <w:rFonts w:ascii="Times New Roman" w:eastAsia="Times New Roman" w:hAnsi="Times New Roman" w:cs="Times New Roman"/>
          <w:sz w:val="22"/>
          <w:szCs w:val="22"/>
        </w:rPr>
        <w:t xml:space="preserve"> tres billones de pesos y generan cerca de 400.000 empleos directos</w:t>
      </w:r>
      <w:r>
        <w:rPr>
          <w:rFonts w:ascii="Times New Roman" w:eastAsia="Times New Roman" w:hAnsi="Times New Roman" w:cs="Times New Roman"/>
          <w:sz w:val="22"/>
          <w:szCs w:val="22"/>
          <w:vertAlign w:val="superscript"/>
        </w:rPr>
        <w:footnoteReference w:id="20"/>
      </w:r>
      <w:r>
        <w:rPr>
          <w:rFonts w:ascii="Times New Roman" w:eastAsia="Times New Roman" w:hAnsi="Times New Roman" w:cs="Times New Roman"/>
          <w:sz w:val="22"/>
          <w:szCs w:val="22"/>
        </w:rPr>
        <w:t>.</w:t>
      </w:r>
    </w:p>
    <w:p w14:paraId="18636B69" w14:textId="77777777" w:rsidR="00123B2F" w:rsidRDefault="00123B2F">
      <w:pPr>
        <w:spacing w:line="276" w:lineRule="auto"/>
        <w:jc w:val="both"/>
        <w:rPr>
          <w:rFonts w:ascii="Times New Roman" w:eastAsia="Times New Roman" w:hAnsi="Times New Roman" w:cs="Times New Roman"/>
          <w:sz w:val="22"/>
          <w:szCs w:val="22"/>
        </w:rPr>
      </w:pPr>
    </w:p>
    <w:p w14:paraId="18636B6A"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la actualidad, la industria panadera en el país enfrenta diferentes retos. Los precios de sus productos han aumentado como resultado del incremento entre el 60% y 70% en los costos de los insumos en los últimos meses, de acuerdo como cifras de grandes e</w:t>
      </w:r>
      <w:r>
        <w:rPr>
          <w:rFonts w:ascii="Times New Roman" w:eastAsia="Times New Roman" w:hAnsi="Times New Roman" w:cs="Times New Roman"/>
          <w:sz w:val="22"/>
          <w:szCs w:val="22"/>
        </w:rPr>
        <w:t xml:space="preserve">mpresas productoras como Bimbo </w:t>
      </w:r>
      <w:r>
        <w:rPr>
          <w:rFonts w:ascii="Times New Roman" w:eastAsia="Times New Roman" w:hAnsi="Times New Roman" w:cs="Times New Roman"/>
          <w:sz w:val="22"/>
          <w:szCs w:val="22"/>
        </w:rPr>
        <w:lastRenderedPageBreak/>
        <w:t>y Comapan</w:t>
      </w:r>
      <w:r>
        <w:rPr>
          <w:rFonts w:ascii="Times New Roman" w:eastAsia="Times New Roman" w:hAnsi="Times New Roman" w:cs="Times New Roman"/>
          <w:sz w:val="22"/>
          <w:szCs w:val="22"/>
          <w:vertAlign w:val="superscript"/>
        </w:rPr>
        <w:footnoteReference w:id="21"/>
      </w:r>
      <w:r>
        <w:rPr>
          <w:rFonts w:ascii="Times New Roman" w:eastAsia="Times New Roman" w:hAnsi="Times New Roman" w:cs="Times New Roman"/>
          <w:sz w:val="22"/>
          <w:szCs w:val="22"/>
        </w:rPr>
        <w:t>. Por tanto, es una industria que requiere el respaldo y apoyo del Estado, incluyendo el Distrito Capital.</w:t>
      </w:r>
    </w:p>
    <w:p w14:paraId="18636B6B" w14:textId="77777777" w:rsidR="00123B2F" w:rsidRDefault="00123B2F">
      <w:pPr>
        <w:spacing w:line="276" w:lineRule="auto"/>
        <w:jc w:val="both"/>
        <w:rPr>
          <w:rFonts w:ascii="Times New Roman" w:eastAsia="Times New Roman" w:hAnsi="Times New Roman" w:cs="Times New Roman"/>
          <w:sz w:val="22"/>
          <w:szCs w:val="22"/>
        </w:rPr>
      </w:pPr>
    </w:p>
    <w:p w14:paraId="18636B6C"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2.1.2.3. </w:t>
      </w:r>
      <w:r>
        <w:rPr>
          <w:rFonts w:ascii="Times New Roman" w:eastAsia="Times New Roman" w:hAnsi="Times New Roman" w:cs="Times New Roman"/>
          <w:b/>
          <w:i/>
          <w:sz w:val="22"/>
          <w:szCs w:val="22"/>
        </w:rPr>
        <w:t>El importante rol de la industria panificadora para la dinamización del consumo</w:t>
      </w:r>
    </w:p>
    <w:p w14:paraId="18636B6D" w14:textId="77777777" w:rsidR="00123B2F" w:rsidRDefault="00123B2F">
      <w:pPr>
        <w:spacing w:line="276" w:lineRule="auto"/>
        <w:jc w:val="both"/>
        <w:rPr>
          <w:rFonts w:ascii="Times New Roman" w:eastAsia="Times New Roman" w:hAnsi="Times New Roman" w:cs="Times New Roman"/>
          <w:sz w:val="22"/>
          <w:szCs w:val="22"/>
        </w:rPr>
      </w:pPr>
    </w:p>
    <w:p w14:paraId="18636B6E"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Colombia es uno d</w:t>
      </w:r>
      <w:r>
        <w:rPr>
          <w:rFonts w:ascii="Times New Roman" w:eastAsia="Times New Roman" w:hAnsi="Times New Roman" w:cs="Times New Roman"/>
          <w:sz w:val="22"/>
          <w:szCs w:val="22"/>
        </w:rPr>
        <w:t>e los paí­ses de Latinoamérica que menos consumo de pan per cápita tiene con 22,2 kg por habitante, mientras que paí­ses como Chile consume 96 kg por año. Así­ lo establece el último estudio “Taste Tomorrow” realizado por Puratos</w:t>
      </w:r>
      <w:r>
        <w:rPr>
          <w:rFonts w:ascii="Times New Roman" w:eastAsia="Times New Roman" w:hAnsi="Times New Roman" w:cs="Times New Roman"/>
          <w:sz w:val="22"/>
          <w:szCs w:val="22"/>
          <w:vertAlign w:val="superscript"/>
        </w:rPr>
        <w:footnoteReference w:id="22"/>
      </w:r>
      <w:r>
        <w:rPr>
          <w:rFonts w:ascii="Times New Roman" w:eastAsia="Times New Roman" w:hAnsi="Times New Roman" w:cs="Times New Roman"/>
          <w:sz w:val="22"/>
          <w:szCs w:val="22"/>
        </w:rPr>
        <w:t>. Pese a lo anterior, cerc</w:t>
      </w:r>
      <w:r>
        <w:rPr>
          <w:rFonts w:ascii="Times New Roman" w:eastAsia="Times New Roman" w:hAnsi="Times New Roman" w:cs="Times New Roman"/>
          <w:sz w:val="22"/>
          <w:szCs w:val="22"/>
        </w:rPr>
        <w:t>a del 98% de los colombianos consume pan, el 70% lo hace a diario, el 91% lo consume al desayuno, el 8% a las medias nueves y el 4% al almuerzo</w:t>
      </w:r>
      <w:r>
        <w:rPr>
          <w:rFonts w:ascii="Times New Roman" w:eastAsia="Times New Roman" w:hAnsi="Times New Roman" w:cs="Times New Roman"/>
          <w:sz w:val="22"/>
          <w:szCs w:val="22"/>
          <w:vertAlign w:val="superscript"/>
        </w:rPr>
        <w:footnoteReference w:id="23"/>
      </w:r>
      <w:r>
        <w:rPr>
          <w:rFonts w:ascii="Times New Roman" w:eastAsia="Times New Roman" w:hAnsi="Times New Roman" w:cs="Times New Roman"/>
          <w:sz w:val="22"/>
          <w:szCs w:val="22"/>
        </w:rPr>
        <w:t>.</w:t>
      </w:r>
    </w:p>
    <w:p w14:paraId="18636B6F" w14:textId="77777777" w:rsidR="00123B2F" w:rsidRDefault="00123B2F">
      <w:pPr>
        <w:spacing w:line="276" w:lineRule="auto"/>
        <w:jc w:val="both"/>
        <w:rPr>
          <w:rFonts w:ascii="Times New Roman" w:eastAsia="Times New Roman" w:hAnsi="Times New Roman" w:cs="Times New Roman"/>
          <w:sz w:val="22"/>
          <w:szCs w:val="22"/>
        </w:rPr>
      </w:pPr>
    </w:p>
    <w:p w14:paraId="18636B70"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Ante el panorama de estabilización y las limitaciones para lograr más desarrollo industrial, las empresas de </w:t>
      </w:r>
      <w:r>
        <w:rPr>
          <w:rFonts w:ascii="Times New Roman" w:eastAsia="Times New Roman" w:hAnsi="Times New Roman" w:cs="Times New Roman"/>
          <w:sz w:val="22"/>
          <w:szCs w:val="22"/>
        </w:rPr>
        <w:t xml:space="preserve">panadería en Colombia han buscado incrementar el consumo de pan y pastelería, rescatando los valores ancestrales, combinándolos a su vez con innovación y tecnologí­a. En sintonía con la preferencia de los consumidores por panes funcionales y naturales que </w:t>
      </w:r>
      <w:r>
        <w:rPr>
          <w:rFonts w:ascii="Times New Roman" w:eastAsia="Times New Roman" w:hAnsi="Times New Roman" w:cs="Times New Roman"/>
          <w:sz w:val="22"/>
          <w:szCs w:val="22"/>
        </w:rPr>
        <w:t>conservan los colores, sabores, aromas y texturas tradicionales</w:t>
      </w:r>
      <w:r>
        <w:rPr>
          <w:rFonts w:ascii="Times New Roman" w:eastAsia="Times New Roman" w:hAnsi="Times New Roman" w:cs="Times New Roman"/>
          <w:sz w:val="22"/>
          <w:szCs w:val="22"/>
          <w:vertAlign w:val="superscript"/>
        </w:rPr>
        <w:footnoteReference w:id="24"/>
      </w:r>
      <w:r>
        <w:rPr>
          <w:rFonts w:ascii="Times New Roman" w:eastAsia="Times New Roman" w:hAnsi="Times New Roman" w:cs="Times New Roman"/>
          <w:sz w:val="22"/>
          <w:szCs w:val="22"/>
        </w:rPr>
        <w:t>.</w:t>
      </w:r>
    </w:p>
    <w:p w14:paraId="18636B71" w14:textId="77777777" w:rsidR="00123B2F" w:rsidRDefault="00123B2F">
      <w:pPr>
        <w:spacing w:line="276" w:lineRule="auto"/>
        <w:jc w:val="both"/>
        <w:rPr>
          <w:rFonts w:ascii="Times New Roman" w:eastAsia="Times New Roman" w:hAnsi="Times New Roman" w:cs="Times New Roman"/>
          <w:sz w:val="22"/>
          <w:szCs w:val="22"/>
        </w:rPr>
      </w:pPr>
    </w:p>
    <w:p w14:paraId="18636B72"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Francisco Antonio Valverde Medina, gerente técnico de Lesaffre Colombia Ltda., dijo en una entrevista que las tendencias en panificación están enfocadas en masas madre con sabores persos qu</w:t>
      </w:r>
      <w:r>
        <w:rPr>
          <w:rFonts w:ascii="Times New Roman" w:eastAsia="Times New Roman" w:hAnsi="Times New Roman" w:cs="Times New Roman"/>
          <w:sz w:val="22"/>
          <w:szCs w:val="22"/>
        </w:rPr>
        <w:t>e generan perfiles aromáticos y aportan sabor, como lo pueden ser masas madre de harinas especiales (centeno, espelta, arroz, malta, trigo, durum, especias, mezcla con algún tipo de leguminosas)</w:t>
      </w:r>
      <w:r>
        <w:rPr>
          <w:rFonts w:ascii="Times New Roman" w:eastAsia="Times New Roman" w:hAnsi="Times New Roman" w:cs="Times New Roman"/>
          <w:sz w:val="22"/>
          <w:szCs w:val="22"/>
          <w:vertAlign w:val="superscript"/>
        </w:rPr>
        <w:footnoteReference w:id="25"/>
      </w:r>
      <w:r>
        <w:rPr>
          <w:rFonts w:ascii="Times New Roman" w:eastAsia="Times New Roman" w:hAnsi="Times New Roman" w:cs="Times New Roman"/>
          <w:sz w:val="22"/>
          <w:szCs w:val="22"/>
        </w:rPr>
        <w:t>.</w:t>
      </w:r>
    </w:p>
    <w:p w14:paraId="18636B73" w14:textId="77777777" w:rsidR="00123B2F" w:rsidRDefault="00123B2F">
      <w:pPr>
        <w:spacing w:line="276" w:lineRule="auto"/>
        <w:jc w:val="both"/>
        <w:rPr>
          <w:rFonts w:ascii="Times New Roman" w:eastAsia="Times New Roman" w:hAnsi="Times New Roman" w:cs="Times New Roman"/>
          <w:sz w:val="22"/>
          <w:szCs w:val="22"/>
        </w:rPr>
      </w:pPr>
    </w:p>
    <w:p w14:paraId="18636B74"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Otro de los retos que enfrenta la industria es la importac</w:t>
      </w:r>
      <w:r>
        <w:rPr>
          <w:rFonts w:ascii="Times New Roman" w:eastAsia="Times New Roman" w:hAnsi="Times New Roman" w:cs="Times New Roman"/>
          <w:sz w:val="22"/>
          <w:szCs w:val="22"/>
        </w:rPr>
        <w:t>ión de pan. Como lo explica José Ricardo Franco, consultor externo de Levapan en Estrategí­a, Investigación del Consumidor y de Tendencias en Panaderí­a y Alimentos:</w:t>
      </w:r>
    </w:p>
    <w:p w14:paraId="18636B75" w14:textId="77777777" w:rsidR="00123B2F" w:rsidRDefault="00123B2F">
      <w:pPr>
        <w:spacing w:line="276" w:lineRule="auto"/>
        <w:jc w:val="both"/>
        <w:rPr>
          <w:rFonts w:ascii="Times New Roman" w:eastAsia="Times New Roman" w:hAnsi="Times New Roman" w:cs="Times New Roman"/>
          <w:sz w:val="22"/>
          <w:szCs w:val="22"/>
        </w:rPr>
      </w:pPr>
    </w:p>
    <w:p w14:paraId="18636B76"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"Tenemos una gran amenaza y es que nos está llegando pan importado. Entonces, si el panad</w:t>
      </w:r>
      <w:r>
        <w:rPr>
          <w:rFonts w:ascii="Times New Roman" w:eastAsia="Times New Roman" w:hAnsi="Times New Roman" w:cs="Times New Roman"/>
          <w:i/>
          <w:sz w:val="22"/>
          <w:szCs w:val="22"/>
        </w:rPr>
        <w:t xml:space="preserve">ero no se da cuenta de esto, en cinco años este oficio está en crisis porque si no </w:t>
      </w:r>
      <w:r>
        <w:rPr>
          <w:rFonts w:ascii="Times New Roman" w:eastAsia="Times New Roman" w:hAnsi="Times New Roman" w:cs="Times New Roman"/>
          <w:i/>
          <w:sz w:val="22"/>
          <w:szCs w:val="22"/>
        </w:rPr>
        <w:lastRenderedPageBreak/>
        <w:t>evolucionamos, si no trabajamos y si no incentivamos el consumo de pan y le quitamos un poco de mito a todo esto que se ha creado alrededor del pan como un producto que engo</w:t>
      </w:r>
      <w:r>
        <w:rPr>
          <w:rFonts w:ascii="Times New Roman" w:eastAsia="Times New Roman" w:hAnsi="Times New Roman" w:cs="Times New Roman"/>
          <w:i/>
          <w:sz w:val="22"/>
          <w:szCs w:val="22"/>
        </w:rPr>
        <w:t>rda y es malo para la salud, muchas empresas pueden quebrar"</w:t>
      </w:r>
      <w:r>
        <w:rPr>
          <w:rFonts w:ascii="Times New Roman" w:eastAsia="Times New Roman" w:hAnsi="Times New Roman" w:cs="Times New Roman"/>
          <w:sz w:val="22"/>
          <w:szCs w:val="22"/>
          <w:vertAlign w:val="superscript"/>
        </w:rPr>
        <w:footnoteReference w:id="26"/>
      </w:r>
      <w:r>
        <w:rPr>
          <w:rFonts w:ascii="Times New Roman" w:eastAsia="Times New Roman" w:hAnsi="Times New Roman" w:cs="Times New Roman"/>
          <w:i/>
          <w:sz w:val="22"/>
          <w:szCs w:val="22"/>
        </w:rPr>
        <w:t>.</w:t>
      </w:r>
    </w:p>
    <w:p w14:paraId="18636B77" w14:textId="77777777" w:rsidR="00123B2F" w:rsidRDefault="00123B2F">
      <w:pPr>
        <w:spacing w:line="276" w:lineRule="auto"/>
        <w:jc w:val="both"/>
        <w:rPr>
          <w:rFonts w:ascii="Times New Roman" w:eastAsia="Times New Roman" w:hAnsi="Times New Roman" w:cs="Times New Roman"/>
          <w:sz w:val="22"/>
          <w:szCs w:val="22"/>
        </w:rPr>
      </w:pPr>
    </w:p>
    <w:p w14:paraId="18636B78"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Pese a estos retos, la industria panificadora a nivel nacional y distrital ha demostrado su resiliencia y pujanza. Con base en el Índice de Producción Real y el Índice de Ventas Reales de Productos de Panadería se identifica que desde el 2020 se ha present</w:t>
      </w:r>
      <w:r>
        <w:rPr>
          <w:rFonts w:ascii="Times New Roman" w:eastAsia="Times New Roman" w:hAnsi="Times New Roman" w:cs="Times New Roman"/>
          <w:sz w:val="22"/>
          <w:szCs w:val="22"/>
        </w:rPr>
        <w:t xml:space="preserve">ado una mejora en el comportamiento de la producción y venta de productos de la industria panificadora, explicada por el cambio en los hábitos de consumo que llegaron con la pandemia. </w:t>
      </w:r>
    </w:p>
    <w:p w14:paraId="18636B79" w14:textId="77777777" w:rsidR="00123B2F" w:rsidRDefault="00123B2F">
      <w:pPr>
        <w:spacing w:line="276" w:lineRule="auto"/>
        <w:jc w:val="both"/>
        <w:rPr>
          <w:rFonts w:ascii="Times New Roman" w:eastAsia="Times New Roman" w:hAnsi="Times New Roman" w:cs="Times New Roman"/>
          <w:sz w:val="22"/>
          <w:szCs w:val="22"/>
        </w:rPr>
      </w:pPr>
    </w:p>
    <w:p w14:paraId="18636B7A"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De acuerdo con el DANE, el Índice de Producción Real entre enero y nov</w:t>
      </w:r>
      <w:r>
        <w:rPr>
          <w:rFonts w:ascii="Times New Roman" w:eastAsia="Times New Roman" w:hAnsi="Times New Roman" w:cs="Times New Roman"/>
          <w:sz w:val="22"/>
          <w:szCs w:val="22"/>
        </w:rPr>
        <w:t>iembre de 2022 aumentó 16,4% en comparación con el mismo período del 2021, así mismo, el índice de ventas presentó un incremento del 16,8% (Figuras 1 y 2). Lo anterior, pese al incremento en el precio de los insumos dadas las afectaciones de la cadena logí</w:t>
      </w:r>
      <w:r>
        <w:rPr>
          <w:rFonts w:ascii="Times New Roman" w:eastAsia="Times New Roman" w:hAnsi="Times New Roman" w:cs="Times New Roman"/>
          <w:sz w:val="22"/>
          <w:szCs w:val="22"/>
        </w:rPr>
        <w:t>stica internacional, la reducción en la oferta de trigo mundial por afectaciones climáticas en Canadá (país del que provienen el 67% de las importaciones de trigo colombianas), la guerra entre Rusia y Ucrania (productores del 30% del trigo a nivel global),</w:t>
      </w:r>
      <w:r>
        <w:rPr>
          <w:rFonts w:ascii="Times New Roman" w:eastAsia="Times New Roman" w:hAnsi="Times New Roman" w:cs="Times New Roman"/>
          <w:sz w:val="22"/>
          <w:szCs w:val="22"/>
        </w:rPr>
        <w:t xml:space="preserve"> la depreciación del peso, así como las altas tasas de inflación</w:t>
      </w:r>
      <w:r>
        <w:rPr>
          <w:rFonts w:ascii="Times New Roman" w:eastAsia="Times New Roman" w:hAnsi="Times New Roman" w:cs="Times New Roman"/>
          <w:sz w:val="22"/>
          <w:szCs w:val="22"/>
          <w:vertAlign w:val="superscript"/>
        </w:rPr>
        <w:footnoteReference w:id="27"/>
      </w:r>
      <w:r>
        <w:rPr>
          <w:rFonts w:ascii="Times New Roman" w:eastAsia="Times New Roman" w:hAnsi="Times New Roman" w:cs="Times New Roman"/>
          <w:sz w:val="22"/>
          <w:szCs w:val="22"/>
        </w:rPr>
        <w:t>.</w:t>
      </w:r>
    </w:p>
    <w:p w14:paraId="18636B7B" w14:textId="77777777" w:rsidR="00123B2F" w:rsidRDefault="00123B2F">
      <w:pPr>
        <w:spacing w:line="276" w:lineRule="auto"/>
        <w:jc w:val="both"/>
        <w:rPr>
          <w:rFonts w:ascii="Times New Roman" w:eastAsia="Times New Roman" w:hAnsi="Times New Roman" w:cs="Times New Roman"/>
          <w:sz w:val="22"/>
          <w:szCs w:val="22"/>
        </w:rPr>
      </w:pPr>
    </w:p>
    <w:p w14:paraId="18636B7C" w14:textId="77777777" w:rsidR="00123B2F" w:rsidRDefault="003C3CEE">
      <w:pPr>
        <w:spacing w:line="276" w:lineRule="auto"/>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drawing>
          <wp:inline distT="114300" distB="114300" distL="114300" distR="114300" wp14:anchorId="18636CA5" wp14:editId="18636CA6">
            <wp:extent cx="3219450" cy="1558245"/>
            <wp:effectExtent l="0" t="0" r="0" b="0"/>
            <wp:docPr id="106"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8"/>
                    <a:srcRect l="9091" t="32006" r="28081" b="13808"/>
                    <a:stretch>
                      <a:fillRect/>
                    </a:stretch>
                  </pic:blipFill>
                  <pic:spPr>
                    <a:xfrm>
                      <a:off x="0" y="0"/>
                      <a:ext cx="3219450" cy="1558245"/>
                    </a:xfrm>
                    <a:prstGeom prst="rect">
                      <a:avLst/>
                    </a:prstGeom>
                    <a:ln/>
                  </pic:spPr>
                </pic:pic>
              </a:graphicData>
            </a:graphic>
          </wp:inline>
        </w:drawing>
      </w:r>
    </w:p>
    <w:p w14:paraId="18636B7D" w14:textId="77777777" w:rsidR="00123B2F" w:rsidRDefault="003C3CEE">
      <w:pPr>
        <w:spacing w:line="276"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Figura 1. Índice de Producción Real de Productos de Panadería.</w:t>
      </w:r>
    </w:p>
    <w:p w14:paraId="18636B7E" w14:textId="77777777" w:rsidR="00123B2F" w:rsidRDefault="003C3CEE">
      <w:pPr>
        <w:spacing w:line="276"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Fuente: ANDI (2022).</w:t>
      </w:r>
    </w:p>
    <w:p w14:paraId="18636B7F" w14:textId="77777777" w:rsidR="00123B2F" w:rsidRDefault="00123B2F">
      <w:pPr>
        <w:spacing w:line="276" w:lineRule="auto"/>
        <w:jc w:val="both"/>
        <w:rPr>
          <w:rFonts w:ascii="Times New Roman" w:eastAsia="Times New Roman" w:hAnsi="Times New Roman" w:cs="Times New Roman"/>
          <w:sz w:val="22"/>
          <w:szCs w:val="22"/>
        </w:rPr>
      </w:pPr>
    </w:p>
    <w:p w14:paraId="18636B80" w14:textId="77777777" w:rsidR="00123B2F" w:rsidRDefault="003C3CEE">
      <w:pPr>
        <w:jc w:val="center"/>
        <w:rPr>
          <w:rFonts w:ascii="Times New Roman" w:eastAsia="Times New Roman" w:hAnsi="Times New Roman" w:cs="Times New Roman"/>
          <w:sz w:val="18"/>
          <w:szCs w:val="18"/>
        </w:rPr>
      </w:pPr>
      <w:r>
        <w:rPr>
          <w:rFonts w:ascii="Times New Roman" w:eastAsia="Times New Roman" w:hAnsi="Times New Roman" w:cs="Times New Roman"/>
          <w:noProof/>
          <w:sz w:val="18"/>
          <w:szCs w:val="18"/>
          <w:lang w:val="es-CO"/>
        </w:rPr>
        <w:lastRenderedPageBreak/>
        <w:drawing>
          <wp:inline distT="114300" distB="114300" distL="114300" distR="114300" wp14:anchorId="18636CA7" wp14:editId="18636CA8">
            <wp:extent cx="3648075" cy="2073409"/>
            <wp:effectExtent l="0" t="0" r="0" b="0"/>
            <wp:docPr id="10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l="7395" t="21678" r="27572" b="12460"/>
                    <a:stretch>
                      <a:fillRect/>
                    </a:stretch>
                  </pic:blipFill>
                  <pic:spPr>
                    <a:xfrm>
                      <a:off x="0" y="0"/>
                      <a:ext cx="3648075" cy="2073409"/>
                    </a:xfrm>
                    <a:prstGeom prst="rect">
                      <a:avLst/>
                    </a:prstGeom>
                    <a:ln/>
                  </pic:spPr>
                </pic:pic>
              </a:graphicData>
            </a:graphic>
          </wp:inline>
        </w:drawing>
      </w:r>
    </w:p>
    <w:p w14:paraId="18636B81" w14:textId="77777777" w:rsidR="00123B2F" w:rsidRDefault="003C3CEE">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Figura 2. Índice de Ventas Reales de Productos de Panadería.</w:t>
      </w:r>
    </w:p>
    <w:p w14:paraId="18636B82" w14:textId="77777777" w:rsidR="00123B2F" w:rsidRDefault="003C3CEE">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Fuente: ANDI (2022).</w:t>
      </w:r>
    </w:p>
    <w:p w14:paraId="18636B83" w14:textId="77777777" w:rsidR="00123B2F" w:rsidRDefault="00123B2F">
      <w:pPr>
        <w:spacing w:line="276" w:lineRule="auto"/>
        <w:jc w:val="both"/>
        <w:rPr>
          <w:rFonts w:ascii="Times New Roman" w:eastAsia="Times New Roman" w:hAnsi="Times New Roman" w:cs="Times New Roman"/>
          <w:sz w:val="22"/>
          <w:szCs w:val="22"/>
        </w:rPr>
      </w:pPr>
    </w:p>
    <w:p w14:paraId="18636B84"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Es importante resaltar que, en la actualidad, un gran reto que ha venido enfrentando la industria panificadora nacional es la guerra entre Rusia y Ucrania. Lo anterior, en razón a que el primer país está dentro del top 5 de países exportadores de trigo a n</w:t>
      </w:r>
      <w:r>
        <w:rPr>
          <w:rFonts w:ascii="Times New Roman" w:eastAsia="Times New Roman" w:hAnsi="Times New Roman" w:cs="Times New Roman"/>
          <w:sz w:val="22"/>
          <w:szCs w:val="22"/>
        </w:rPr>
        <w:t>ivel mundial, y en conjunto representan el 30% de las exportaciones de trigo en el planeta</w:t>
      </w:r>
      <w:r>
        <w:rPr>
          <w:rFonts w:ascii="Times New Roman" w:eastAsia="Times New Roman" w:hAnsi="Times New Roman" w:cs="Times New Roman"/>
          <w:sz w:val="22"/>
          <w:szCs w:val="22"/>
          <w:vertAlign w:val="superscript"/>
        </w:rPr>
        <w:footnoteReference w:id="28"/>
      </w:r>
      <w:r>
        <w:rPr>
          <w:rFonts w:ascii="Times New Roman" w:eastAsia="Times New Roman" w:hAnsi="Times New Roman" w:cs="Times New Roman"/>
          <w:sz w:val="22"/>
          <w:szCs w:val="22"/>
        </w:rPr>
        <w:t>.</w:t>
      </w:r>
    </w:p>
    <w:p w14:paraId="18636B85" w14:textId="77777777" w:rsidR="00123B2F" w:rsidRDefault="00123B2F">
      <w:pPr>
        <w:spacing w:line="276" w:lineRule="auto"/>
        <w:jc w:val="both"/>
        <w:rPr>
          <w:rFonts w:ascii="Times New Roman" w:eastAsia="Times New Roman" w:hAnsi="Times New Roman" w:cs="Times New Roman"/>
          <w:sz w:val="22"/>
          <w:szCs w:val="22"/>
        </w:rPr>
      </w:pPr>
    </w:p>
    <w:p w14:paraId="18636B86"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Ante este panorama, el pan se ha encarecido 25% en el último año y podría seguir subiendo. El Índice de Precios al Consumidor (IPC) del pan, medido por el DANE, h</w:t>
      </w:r>
      <w:r>
        <w:rPr>
          <w:rFonts w:ascii="Times New Roman" w:eastAsia="Times New Roman" w:hAnsi="Times New Roman" w:cs="Times New Roman"/>
          <w:sz w:val="22"/>
          <w:szCs w:val="22"/>
        </w:rPr>
        <w:t>a aumentado en un 25,41% en el último año, casi el doble del promedio anualizado total de 12,82% en abril. Este aumento se debe a la variación en los precios de los ingredientes clave utilizados en la elaboración del pan, como el trigo (32,74%), los huevos</w:t>
      </w:r>
      <w:r>
        <w:rPr>
          <w:rFonts w:ascii="Times New Roman" w:eastAsia="Times New Roman" w:hAnsi="Times New Roman" w:cs="Times New Roman"/>
          <w:sz w:val="22"/>
          <w:szCs w:val="22"/>
        </w:rPr>
        <w:t xml:space="preserve"> (16,49%) y la mantequilla (30,38%) (Figura 3). El costo de un bulto de harina se ha duplicado desde octubre de 2021, pasando de $95.000 a $190.000</w:t>
      </w:r>
      <w:r>
        <w:rPr>
          <w:rFonts w:ascii="Times New Roman" w:eastAsia="Times New Roman" w:hAnsi="Times New Roman" w:cs="Times New Roman"/>
          <w:sz w:val="22"/>
          <w:szCs w:val="22"/>
          <w:vertAlign w:val="superscript"/>
        </w:rPr>
        <w:footnoteReference w:id="29"/>
      </w:r>
      <w:r>
        <w:rPr>
          <w:rFonts w:ascii="Times New Roman" w:eastAsia="Times New Roman" w:hAnsi="Times New Roman" w:cs="Times New Roman"/>
          <w:sz w:val="22"/>
          <w:szCs w:val="22"/>
        </w:rPr>
        <w:t>.</w:t>
      </w:r>
    </w:p>
    <w:p w14:paraId="18636B87" w14:textId="77777777" w:rsidR="00123B2F" w:rsidRDefault="003C3CEE">
      <w:pPr>
        <w:spacing w:line="276" w:lineRule="auto"/>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lastRenderedPageBreak/>
        <w:drawing>
          <wp:inline distT="114300" distB="114300" distL="114300" distR="114300" wp14:anchorId="18636CA9" wp14:editId="18636CAA">
            <wp:extent cx="3952875" cy="1977108"/>
            <wp:effectExtent l="0" t="0" r="0" b="0"/>
            <wp:docPr id="10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
                    <a:srcRect l="7734" t="24796" r="21799" b="12512"/>
                    <a:stretch>
                      <a:fillRect/>
                    </a:stretch>
                  </pic:blipFill>
                  <pic:spPr>
                    <a:xfrm>
                      <a:off x="0" y="0"/>
                      <a:ext cx="3952875" cy="1977108"/>
                    </a:xfrm>
                    <a:prstGeom prst="rect">
                      <a:avLst/>
                    </a:prstGeom>
                    <a:ln/>
                  </pic:spPr>
                </pic:pic>
              </a:graphicData>
            </a:graphic>
          </wp:inline>
        </w:drawing>
      </w:r>
      <w:r>
        <w:rPr>
          <w:rFonts w:ascii="Times New Roman" w:eastAsia="Times New Roman" w:hAnsi="Times New Roman" w:cs="Times New Roman"/>
          <w:sz w:val="22"/>
          <w:szCs w:val="22"/>
          <w:vertAlign w:val="superscript"/>
        </w:rPr>
        <w:footnoteReference w:id="30"/>
      </w:r>
    </w:p>
    <w:p w14:paraId="18636B88" w14:textId="77777777" w:rsidR="00123B2F" w:rsidRDefault="003C3CEE">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Figura 3. Incremento del valor de los insumos del pan en el último año.</w:t>
      </w:r>
    </w:p>
    <w:p w14:paraId="18636B89" w14:textId="77777777" w:rsidR="00123B2F" w:rsidRDefault="003C3CEE">
      <w:pPr>
        <w:jc w:val="center"/>
        <w:rPr>
          <w:rFonts w:ascii="Times New Roman" w:eastAsia="Times New Roman" w:hAnsi="Times New Roman" w:cs="Times New Roman"/>
          <w:sz w:val="22"/>
          <w:szCs w:val="22"/>
        </w:rPr>
      </w:pPr>
      <w:r>
        <w:rPr>
          <w:rFonts w:ascii="Times New Roman" w:eastAsia="Times New Roman" w:hAnsi="Times New Roman" w:cs="Times New Roman"/>
          <w:sz w:val="18"/>
          <w:szCs w:val="18"/>
        </w:rPr>
        <w:t>Fuente: ANDI (2022)</w:t>
      </w:r>
      <w:r>
        <w:rPr>
          <w:rFonts w:ascii="Times New Roman" w:eastAsia="Times New Roman" w:hAnsi="Times New Roman" w:cs="Times New Roman"/>
          <w:sz w:val="22"/>
          <w:szCs w:val="22"/>
        </w:rPr>
        <w:t>.</w:t>
      </w:r>
    </w:p>
    <w:p w14:paraId="18636B8A" w14:textId="77777777" w:rsidR="00123B2F" w:rsidRDefault="00123B2F">
      <w:pPr>
        <w:spacing w:line="276" w:lineRule="auto"/>
        <w:jc w:val="both"/>
        <w:rPr>
          <w:rFonts w:ascii="Times New Roman" w:eastAsia="Times New Roman" w:hAnsi="Times New Roman" w:cs="Times New Roman"/>
          <w:sz w:val="22"/>
          <w:szCs w:val="22"/>
        </w:rPr>
      </w:pPr>
    </w:p>
    <w:p w14:paraId="18636B8B"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Adicional</w:t>
      </w:r>
      <w:r>
        <w:rPr>
          <w:rFonts w:ascii="Times New Roman" w:eastAsia="Times New Roman" w:hAnsi="Times New Roman" w:cs="Times New Roman"/>
          <w:sz w:val="22"/>
          <w:szCs w:val="22"/>
        </w:rPr>
        <w:t>mente, la escasez de mantequilla ha elevado los precios de productos panaderos debido a la falta de producción suficiente de leche. La producción de mantequilla es esencial en la preparación de alimentos como croissants, galletas y milhojas. Según la Asoci</w:t>
      </w:r>
      <w:r>
        <w:rPr>
          <w:rFonts w:ascii="Times New Roman" w:eastAsia="Times New Roman" w:hAnsi="Times New Roman" w:cs="Times New Roman"/>
          <w:sz w:val="22"/>
          <w:szCs w:val="22"/>
        </w:rPr>
        <w:t>ación Colombiana de la Industria Gastronómica (Acodres), los precios de la mantequilla se ubicaban en $10.000 libra y, actualmente, fluctúan entre $19.980 al por mayor y hasta $28.900 en supermercados</w:t>
      </w:r>
      <w:r>
        <w:rPr>
          <w:rFonts w:ascii="Times New Roman" w:eastAsia="Times New Roman" w:hAnsi="Times New Roman" w:cs="Times New Roman"/>
          <w:sz w:val="22"/>
          <w:szCs w:val="22"/>
          <w:vertAlign w:val="superscript"/>
        </w:rPr>
        <w:footnoteReference w:id="31"/>
      </w:r>
      <w:r>
        <w:rPr>
          <w:rFonts w:ascii="Times New Roman" w:eastAsia="Times New Roman" w:hAnsi="Times New Roman" w:cs="Times New Roman"/>
          <w:sz w:val="22"/>
          <w:szCs w:val="22"/>
        </w:rPr>
        <w:t>.</w:t>
      </w:r>
    </w:p>
    <w:p w14:paraId="18636B8C" w14:textId="77777777" w:rsidR="00123B2F" w:rsidRDefault="00123B2F">
      <w:pPr>
        <w:spacing w:line="276" w:lineRule="auto"/>
        <w:jc w:val="both"/>
        <w:rPr>
          <w:rFonts w:ascii="Times New Roman" w:eastAsia="Times New Roman" w:hAnsi="Times New Roman" w:cs="Times New Roman"/>
          <w:sz w:val="22"/>
          <w:szCs w:val="22"/>
        </w:rPr>
      </w:pPr>
    </w:p>
    <w:p w14:paraId="18636B8D"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Además, debido a los altos costos de los insumos, la</w:t>
      </w:r>
      <w:r>
        <w:rPr>
          <w:rFonts w:ascii="Times New Roman" w:eastAsia="Times New Roman" w:hAnsi="Times New Roman" w:cs="Times New Roman"/>
          <w:sz w:val="22"/>
          <w:szCs w:val="22"/>
        </w:rPr>
        <w:t xml:space="preserve"> producción de pandebono se ha reducido en un 50 %. Según diferentes asociaciones esto se ha generado en razón a que producir un pandebono cuesta casi el doble que hace un año. El precio de un pandebono el año pasado era máximo de COP $1.000. Actualmente, </w:t>
      </w:r>
      <w:r>
        <w:rPr>
          <w:rFonts w:ascii="Times New Roman" w:eastAsia="Times New Roman" w:hAnsi="Times New Roman" w:cs="Times New Roman"/>
          <w:sz w:val="22"/>
          <w:szCs w:val="22"/>
        </w:rPr>
        <w:t>el precio de este producto puede estar entre COP $2.000 y COP $3.000</w:t>
      </w:r>
      <w:r>
        <w:rPr>
          <w:rFonts w:ascii="Times New Roman" w:eastAsia="Times New Roman" w:hAnsi="Times New Roman" w:cs="Times New Roman"/>
          <w:sz w:val="22"/>
          <w:szCs w:val="22"/>
          <w:vertAlign w:val="superscript"/>
        </w:rPr>
        <w:footnoteReference w:id="32"/>
      </w:r>
      <w:r>
        <w:rPr>
          <w:rFonts w:ascii="Times New Roman" w:eastAsia="Times New Roman" w:hAnsi="Times New Roman" w:cs="Times New Roman"/>
          <w:sz w:val="22"/>
          <w:szCs w:val="22"/>
        </w:rPr>
        <w:t>.</w:t>
      </w:r>
    </w:p>
    <w:p w14:paraId="18636B8E" w14:textId="77777777" w:rsidR="00123B2F" w:rsidRDefault="00123B2F">
      <w:pPr>
        <w:spacing w:line="276" w:lineRule="auto"/>
        <w:jc w:val="both"/>
        <w:rPr>
          <w:rFonts w:ascii="Times New Roman" w:eastAsia="Times New Roman" w:hAnsi="Times New Roman" w:cs="Times New Roman"/>
          <w:sz w:val="22"/>
          <w:szCs w:val="22"/>
        </w:rPr>
      </w:pPr>
    </w:p>
    <w:p w14:paraId="18636B8F" w14:textId="77777777" w:rsidR="00123B2F" w:rsidRDefault="00123B2F">
      <w:pPr>
        <w:spacing w:line="276" w:lineRule="auto"/>
        <w:jc w:val="both"/>
        <w:rPr>
          <w:rFonts w:ascii="Times New Roman" w:eastAsia="Times New Roman" w:hAnsi="Times New Roman" w:cs="Times New Roman"/>
          <w:b/>
          <w:sz w:val="22"/>
          <w:szCs w:val="22"/>
        </w:rPr>
      </w:pPr>
    </w:p>
    <w:p w14:paraId="18636B90" w14:textId="77777777" w:rsidR="00123B2F" w:rsidRDefault="003C3CEE">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2.1.3. Un reto a superar: producción más limpia en la industria panificadora</w:t>
      </w:r>
    </w:p>
    <w:p w14:paraId="18636B91" w14:textId="77777777" w:rsidR="00123B2F" w:rsidRDefault="00123B2F">
      <w:pPr>
        <w:spacing w:line="276" w:lineRule="auto"/>
        <w:jc w:val="both"/>
        <w:rPr>
          <w:rFonts w:ascii="Times New Roman" w:eastAsia="Times New Roman" w:hAnsi="Times New Roman" w:cs="Times New Roman"/>
          <w:b/>
          <w:i/>
          <w:sz w:val="22"/>
          <w:szCs w:val="22"/>
          <w:highlight w:val="yellow"/>
        </w:rPr>
      </w:pPr>
    </w:p>
    <w:p w14:paraId="18636B92" w14:textId="77777777" w:rsidR="00123B2F" w:rsidRDefault="003C3CEE">
      <w:pPr>
        <w:spacing w:line="276" w:lineRule="auto"/>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rPr>
        <w:lastRenderedPageBreak/>
        <w:t>Los procesos de producción acarrean una serie de impactos ambientales. Particularmente, en el caso de la cadena productiva del pan, el factor de mayor impacto son los fertilizantes como el metano, el dióxido de carbono, el amoníaco y el nitrógeno que son u</w:t>
      </w:r>
      <w:r>
        <w:rPr>
          <w:rFonts w:ascii="Times New Roman" w:eastAsia="Times New Roman" w:hAnsi="Times New Roman" w:cs="Times New Roman"/>
          <w:sz w:val="22"/>
          <w:szCs w:val="22"/>
        </w:rPr>
        <w:t xml:space="preserve">sados para cultivar el trigo, </w:t>
      </w:r>
      <w:r>
        <w:rPr>
          <w:rFonts w:ascii="Times New Roman" w:eastAsia="Times New Roman" w:hAnsi="Times New Roman" w:cs="Times New Roman"/>
          <w:sz w:val="22"/>
          <w:szCs w:val="22"/>
          <w:highlight w:val="white"/>
        </w:rPr>
        <w:t>los cuales representan el 43% de las emisiones de gases de efecto invernadero que genera la producción del pan, según investigadores de la Universidad de Sheffield (La Vanguardia, 2017)</w:t>
      </w:r>
      <w:r>
        <w:rPr>
          <w:rFonts w:ascii="Times New Roman" w:eastAsia="Times New Roman" w:hAnsi="Times New Roman" w:cs="Times New Roman"/>
          <w:sz w:val="22"/>
          <w:szCs w:val="22"/>
          <w:highlight w:val="white"/>
          <w:vertAlign w:val="superscript"/>
        </w:rPr>
        <w:footnoteReference w:id="33"/>
      </w:r>
      <w:r>
        <w:rPr>
          <w:rFonts w:ascii="Times New Roman" w:eastAsia="Times New Roman" w:hAnsi="Times New Roman" w:cs="Times New Roman"/>
          <w:sz w:val="22"/>
          <w:szCs w:val="22"/>
          <w:highlight w:val="white"/>
        </w:rPr>
        <w:t>.</w:t>
      </w:r>
    </w:p>
    <w:p w14:paraId="18636B93" w14:textId="77777777" w:rsidR="00123B2F" w:rsidRDefault="00123B2F">
      <w:pPr>
        <w:spacing w:line="276" w:lineRule="auto"/>
        <w:jc w:val="both"/>
        <w:rPr>
          <w:rFonts w:ascii="Times New Roman" w:eastAsia="Times New Roman" w:hAnsi="Times New Roman" w:cs="Times New Roman"/>
          <w:sz w:val="22"/>
          <w:szCs w:val="22"/>
          <w:highlight w:val="white"/>
        </w:rPr>
      </w:pPr>
    </w:p>
    <w:p w14:paraId="18636B94" w14:textId="77777777" w:rsidR="00123B2F" w:rsidRDefault="003C3CEE">
      <w:pPr>
        <w:spacing w:line="276" w:lineRule="auto"/>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Los principales problemas de contamin</w:t>
      </w:r>
      <w:r>
        <w:rPr>
          <w:rFonts w:ascii="Times New Roman" w:eastAsia="Times New Roman" w:hAnsi="Times New Roman" w:cs="Times New Roman"/>
          <w:sz w:val="22"/>
          <w:szCs w:val="22"/>
          <w:highlight w:val="white"/>
        </w:rPr>
        <w:t>ación ambiental que se originan en este sector son: el manejo inadecuado de residuos sólidos y desechos peligrosos, la generación de partículas sólidas en forma de polvo, las emisiones de gases en los procesos de combustión, las emisiones de ruidos y la ex</w:t>
      </w:r>
      <w:r>
        <w:rPr>
          <w:rFonts w:ascii="Times New Roman" w:eastAsia="Times New Roman" w:hAnsi="Times New Roman" w:cs="Times New Roman"/>
          <w:sz w:val="22"/>
          <w:szCs w:val="22"/>
          <w:highlight w:val="white"/>
        </w:rPr>
        <w:t>istencia de reactivos ociosos sin movimiento (Rodríguez, 2019)</w:t>
      </w:r>
      <w:r>
        <w:rPr>
          <w:rFonts w:ascii="Times New Roman" w:eastAsia="Times New Roman" w:hAnsi="Times New Roman" w:cs="Times New Roman"/>
          <w:sz w:val="22"/>
          <w:szCs w:val="22"/>
          <w:highlight w:val="white"/>
          <w:vertAlign w:val="superscript"/>
        </w:rPr>
        <w:footnoteReference w:id="34"/>
      </w:r>
      <w:r>
        <w:rPr>
          <w:rFonts w:ascii="Times New Roman" w:eastAsia="Times New Roman" w:hAnsi="Times New Roman" w:cs="Times New Roman"/>
          <w:sz w:val="22"/>
          <w:szCs w:val="22"/>
          <w:highlight w:val="white"/>
        </w:rPr>
        <w:t>, lo cual ratifica la importancia de apostarle a estrategias de producción más limpia.</w:t>
      </w:r>
    </w:p>
    <w:p w14:paraId="18636B95" w14:textId="77777777" w:rsidR="00123B2F" w:rsidRDefault="00123B2F">
      <w:pPr>
        <w:spacing w:line="276" w:lineRule="auto"/>
        <w:jc w:val="both"/>
        <w:rPr>
          <w:rFonts w:ascii="Times New Roman" w:eastAsia="Times New Roman" w:hAnsi="Times New Roman" w:cs="Times New Roman"/>
          <w:sz w:val="22"/>
          <w:szCs w:val="22"/>
          <w:highlight w:val="white"/>
        </w:rPr>
      </w:pPr>
    </w:p>
    <w:p w14:paraId="18636B96" w14:textId="77777777" w:rsidR="00123B2F" w:rsidRDefault="003C3CEE">
      <w:pPr>
        <w:spacing w:line="276" w:lineRule="auto"/>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Otros posibles impactos ambientales se generan en las fases de mezcla, sobado, conformado, dilatación y f</w:t>
      </w:r>
      <w:r>
        <w:rPr>
          <w:rFonts w:ascii="Times New Roman" w:eastAsia="Times New Roman" w:hAnsi="Times New Roman" w:cs="Times New Roman"/>
          <w:sz w:val="22"/>
          <w:szCs w:val="22"/>
          <w:highlight w:val="white"/>
        </w:rPr>
        <w:t>ermentación, horno, enfriamiento, lustrado y envase, generando aguas residuales y emisión de gases (Dieguez, 2013)</w:t>
      </w:r>
      <w:r>
        <w:rPr>
          <w:rFonts w:ascii="Times New Roman" w:eastAsia="Times New Roman" w:hAnsi="Times New Roman" w:cs="Times New Roman"/>
          <w:sz w:val="22"/>
          <w:szCs w:val="22"/>
          <w:highlight w:val="white"/>
          <w:vertAlign w:val="superscript"/>
        </w:rPr>
        <w:footnoteReference w:id="35"/>
      </w:r>
      <w:r>
        <w:rPr>
          <w:rFonts w:ascii="Times New Roman" w:eastAsia="Times New Roman" w:hAnsi="Times New Roman" w:cs="Times New Roman"/>
          <w:sz w:val="22"/>
          <w:szCs w:val="22"/>
          <w:highlight w:val="white"/>
        </w:rPr>
        <w:t xml:space="preserve">, los cuales varían dependiendo las modificaciones y cantidad de productos elaborados por la industria. </w:t>
      </w:r>
    </w:p>
    <w:p w14:paraId="18636B97" w14:textId="77777777" w:rsidR="00123B2F" w:rsidRDefault="00123B2F">
      <w:pPr>
        <w:spacing w:line="276" w:lineRule="auto"/>
        <w:jc w:val="both"/>
        <w:rPr>
          <w:rFonts w:ascii="Times New Roman" w:eastAsia="Times New Roman" w:hAnsi="Times New Roman" w:cs="Times New Roman"/>
          <w:sz w:val="22"/>
          <w:szCs w:val="22"/>
          <w:highlight w:val="white"/>
        </w:rPr>
      </w:pPr>
    </w:p>
    <w:p w14:paraId="18636B98" w14:textId="77777777" w:rsidR="00123B2F" w:rsidRDefault="003C3CEE">
      <w:pPr>
        <w:spacing w:line="276" w:lineRule="auto"/>
        <w:jc w:val="both"/>
        <w:rPr>
          <w:rFonts w:ascii="Times New Roman" w:eastAsia="Times New Roman" w:hAnsi="Times New Roman" w:cs="Times New Roman"/>
          <w:b/>
          <w:i/>
          <w:sz w:val="22"/>
          <w:szCs w:val="22"/>
          <w:highlight w:val="yellow"/>
        </w:rPr>
      </w:pPr>
      <w:r>
        <w:rPr>
          <w:rFonts w:ascii="Times New Roman" w:eastAsia="Times New Roman" w:hAnsi="Times New Roman" w:cs="Times New Roman"/>
          <w:sz w:val="22"/>
          <w:szCs w:val="22"/>
          <w:highlight w:val="white"/>
        </w:rPr>
        <w:t>En virtud de lo anterior, es import</w:t>
      </w:r>
      <w:r>
        <w:rPr>
          <w:rFonts w:ascii="Times New Roman" w:eastAsia="Times New Roman" w:hAnsi="Times New Roman" w:cs="Times New Roman"/>
          <w:sz w:val="22"/>
          <w:szCs w:val="22"/>
          <w:highlight w:val="white"/>
        </w:rPr>
        <w:t xml:space="preserve">ante que en la cadena productiva del pan se empiecen a vincular sistemas de producción más limpia a través de la aplicación continua de estrategias ambientales preventivas, integradas a los procesos, productos y servicios que aumenten la eficiencia global </w:t>
      </w:r>
      <w:r>
        <w:rPr>
          <w:rFonts w:ascii="Times New Roman" w:eastAsia="Times New Roman" w:hAnsi="Times New Roman" w:cs="Times New Roman"/>
          <w:sz w:val="22"/>
          <w:szCs w:val="22"/>
          <w:highlight w:val="white"/>
        </w:rPr>
        <w:t>y reduzcan los riesgos para los seres humanos y el medio ambiente (ONUD, 2008)</w:t>
      </w:r>
      <w:r>
        <w:rPr>
          <w:rFonts w:ascii="Times New Roman" w:eastAsia="Times New Roman" w:hAnsi="Times New Roman" w:cs="Times New Roman"/>
          <w:sz w:val="22"/>
          <w:szCs w:val="22"/>
          <w:highlight w:val="white"/>
          <w:vertAlign w:val="superscript"/>
        </w:rPr>
        <w:footnoteReference w:id="36"/>
      </w:r>
      <w:r>
        <w:rPr>
          <w:rFonts w:ascii="Times New Roman" w:eastAsia="Times New Roman" w:hAnsi="Times New Roman" w:cs="Times New Roman"/>
          <w:sz w:val="22"/>
          <w:szCs w:val="22"/>
          <w:highlight w:val="white"/>
        </w:rPr>
        <w:t>.</w:t>
      </w:r>
      <w:r>
        <w:rPr>
          <w:rFonts w:ascii="Times New Roman" w:eastAsia="Times New Roman" w:hAnsi="Times New Roman" w:cs="Times New Roman"/>
          <w:sz w:val="22"/>
          <w:szCs w:val="22"/>
          <w:highlight w:val="white"/>
        </w:rPr>
        <w:br/>
      </w:r>
    </w:p>
    <w:p w14:paraId="18636B99" w14:textId="77777777" w:rsidR="00123B2F" w:rsidRDefault="003C3CEE">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2.1.4. Aumentar el valor nutricional del pan: un reto esencial</w:t>
      </w:r>
    </w:p>
    <w:p w14:paraId="18636B9A" w14:textId="77777777" w:rsidR="00123B2F" w:rsidRDefault="00123B2F">
      <w:pPr>
        <w:spacing w:line="276" w:lineRule="auto"/>
        <w:jc w:val="both"/>
        <w:rPr>
          <w:rFonts w:ascii="Times New Roman" w:eastAsia="Times New Roman" w:hAnsi="Times New Roman" w:cs="Times New Roman"/>
          <w:b/>
          <w:sz w:val="22"/>
          <w:szCs w:val="22"/>
        </w:rPr>
      </w:pPr>
    </w:p>
    <w:p w14:paraId="18636B9B"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 xml:space="preserve">La harina de trigo es uno de los insumos más importantes para la fabricación de alimentos básicos en la dieta </w:t>
      </w:r>
      <w:r>
        <w:rPr>
          <w:rFonts w:ascii="Times New Roman" w:eastAsia="Times New Roman" w:hAnsi="Times New Roman" w:cs="Times New Roman"/>
          <w:sz w:val="22"/>
          <w:szCs w:val="22"/>
        </w:rPr>
        <w:t xml:space="preserve">colombiana, como son los productos de panadería, pastelería, galletas, pastas alimenticias y otros </w:t>
      </w:r>
      <w:r>
        <w:rPr>
          <w:rFonts w:ascii="Times New Roman" w:eastAsia="Times New Roman" w:hAnsi="Times New Roman" w:cs="Times New Roman"/>
          <w:sz w:val="22"/>
          <w:szCs w:val="22"/>
          <w:vertAlign w:val="superscript"/>
        </w:rPr>
        <w:footnoteReference w:id="37"/>
      </w:r>
      <w:r>
        <w:rPr>
          <w:rFonts w:ascii="Times New Roman" w:eastAsia="Times New Roman" w:hAnsi="Times New Roman" w:cs="Times New Roman"/>
          <w:sz w:val="22"/>
          <w:szCs w:val="22"/>
        </w:rPr>
        <w:t>. Colombia es pionero en la fortificación de la harina de trigo.</w:t>
      </w:r>
    </w:p>
    <w:p w14:paraId="18636B9C"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Pese a ello, se debe lograr un mejoramiento del perfil nutricional del pan, agregando conte</w:t>
      </w:r>
      <w:r>
        <w:rPr>
          <w:rFonts w:ascii="Times New Roman" w:eastAsia="Times New Roman" w:hAnsi="Times New Roman" w:cs="Times New Roman"/>
          <w:sz w:val="22"/>
          <w:szCs w:val="22"/>
        </w:rPr>
        <w:t>nidos de valor a los productos, como semillas ancestrales y otros aditivos incrementando el contenido proteico, aportando proteínas de mayor valor biológico, dado que los aminoácidos se complementan</w:t>
      </w:r>
      <w:r>
        <w:rPr>
          <w:rFonts w:ascii="Times New Roman" w:eastAsia="Times New Roman" w:hAnsi="Times New Roman" w:cs="Times New Roman"/>
          <w:sz w:val="22"/>
          <w:szCs w:val="22"/>
          <w:vertAlign w:val="superscript"/>
        </w:rPr>
        <w:footnoteReference w:id="38"/>
      </w:r>
      <w:r>
        <w:rPr>
          <w:rFonts w:ascii="Times New Roman" w:eastAsia="Times New Roman" w:hAnsi="Times New Roman" w:cs="Times New Roman"/>
          <w:sz w:val="22"/>
          <w:szCs w:val="22"/>
        </w:rPr>
        <w:t>.</w:t>
      </w:r>
      <w:r>
        <w:rPr>
          <w:rFonts w:ascii="Times New Roman" w:eastAsia="Times New Roman" w:hAnsi="Times New Roman" w:cs="Times New Roman"/>
          <w:sz w:val="22"/>
          <w:szCs w:val="22"/>
        </w:rPr>
        <w:br/>
      </w:r>
    </w:p>
    <w:p w14:paraId="18636B9D"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Adicionalmente, se debe tener en cuenta las enfermedades asociadas a los componentes del trigo, la enfermedad celíaca </w:t>
      </w:r>
      <w:r>
        <w:rPr>
          <w:rFonts w:ascii="Times New Roman" w:eastAsia="Times New Roman" w:hAnsi="Times New Roman" w:cs="Times New Roman"/>
          <w:sz w:val="21"/>
          <w:szCs w:val="21"/>
        </w:rPr>
        <w:t>es una patología de tipo inflamatoria de origen autoinmune desencadenada por la ingesta de gluten, la cual es una proteína compuesta por l</w:t>
      </w:r>
      <w:r>
        <w:rPr>
          <w:rFonts w:ascii="Times New Roman" w:eastAsia="Times New Roman" w:hAnsi="Times New Roman" w:cs="Times New Roman"/>
          <w:sz w:val="21"/>
          <w:szCs w:val="21"/>
        </w:rPr>
        <w:t>os glucoproteínas, la gliadina y la glutenina. El gluten se encuentra en cereales como el trigo, cebada y centeno, por lo que el tratamiento para esta enfermedad es eliminar de la dieta estos cereales, así como cualquier alimento que los contenga. En la pa</w:t>
      </w:r>
      <w:r>
        <w:rPr>
          <w:rFonts w:ascii="Times New Roman" w:eastAsia="Times New Roman" w:hAnsi="Times New Roman" w:cs="Times New Roman"/>
          <w:sz w:val="21"/>
          <w:szCs w:val="21"/>
        </w:rPr>
        <w:t>nificación el principal ingrediente utilizado es la harina de trigo, por lo que resulta complicado consumir alimentos panificados para las personas con celiaquía. Es así como se han buscado formulaciones de harinas de otros cereales o leguminosas que permi</w:t>
      </w:r>
      <w:r>
        <w:rPr>
          <w:rFonts w:ascii="Times New Roman" w:eastAsia="Times New Roman" w:hAnsi="Times New Roman" w:cs="Times New Roman"/>
          <w:sz w:val="21"/>
          <w:szCs w:val="21"/>
        </w:rPr>
        <w:t>tan conferir las características de calidad que ofrece la harina de trigo, por lo cual se detalla la elaboración de un pan libre de gluten.</w:t>
      </w:r>
      <w:r>
        <w:rPr>
          <w:rFonts w:ascii="Times New Roman" w:eastAsia="Times New Roman" w:hAnsi="Times New Roman" w:cs="Times New Roman"/>
          <w:sz w:val="22"/>
          <w:szCs w:val="22"/>
          <w:vertAlign w:val="superscript"/>
        </w:rPr>
        <w:footnoteReference w:id="39"/>
      </w:r>
      <w:r>
        <w:rPr>
          <w:rFonts w:ascii="Times New Roman" w:eastAsia="Times New Roman" w:hAnsi="Times New Roman" w:cs="Times New Roman"/>
          <w:sz w:val="22"/>
          <w:szCs w:val="22"/>
        </w:rPr>
        <w:t xml:space="preserve"> Disminuyendo la cantidad de gluten, sin dejar del todo el insumo de la harina de trigo ofreciendo una nueva alternativa para las personas que padecen de esta enfermedad, la cual tiene una prevalencia cercana al 1% en la población en general</w:t>
      </w:r>
      <w:r>
        <w:rPr>
          <w:rFonts w:ascii="Times New Roman" w:eastAsia="Times New Roman" w:hAnsi="Times New Roman" w:cs="Times New Roman"/>
          <w:b/>
          <w:sz w:val="22"/>
          <w:szCs w:val="22"/>
          <w:vertAlign w:val="superscript"/>
        </w:rPr>
        <w:footnoteReference w:id="40"/>
      </w:r>
      <w:r>
        <w:rPr>
          <w:rFonts w:ascii="Times New Roman" w:eastAsia="Times New Roman" w:hAnsi="Times New Roman" w:cs="Times New Roman"/>
          <w:b/>
          <w:sz w:val="22"/>
          <w:szCs w:val="22"/>
        </w:rPr>
        <w:t>.</w:t>
      </w:r>
    </w:p>
    <w:p w14:paraId="18636B9E" w14:textId="77777777" w:rsidR="00123B2F" w:rsidRDefault="003C3CEE">
      <w:pPr>
        <w:spacing w:line="276" w:lineRule="auto"/>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lastRenderedPageBreak/>
        <w:drawing>
          <wp:inline distT="114300" distB="114300" distL="114300" distR="114300" wp14:anchorId="18636CAB" wp14:editId="18636CAC">
            <wp:extent cx="2834511" cy="1430179"/>
            <wp:effectExtent l="0" t="0" r="0" b="0"/>
            <wp:docPr id="10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2834511" cy="1430179"/>
                    </a:xfrm>
                    <a:prstGeom prst="rect">
                      <a:avLst/>
                    </a:prstGeom>
                    <a:ln/>
                  </pic:spPr>
                </pic:pic>
              </a:graphicData>
            </a:graphic>
          </wp:inline>
        </w:drawing>
      </w:r>
    </w:p>
    <w:p w14:paraId="18636B9F" w14:textId="77777777" w:rsidR="00123B2F" w:rsidRDefault="003C3CEE">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Figura 4. </w:t>
      </w:r>
      <w:r>
        <w:rPr>
          <w:rFonts w:ascii="Times New Roman" w:eastAsia="Times New Roman" w:hAnsi="Times New Roman" w:cs="Times New Roman"/>
          <w:sz w:val="18"/>
          <w:szCs w:val="18"/>
        </w:rPr>
        <w:t>Contenido de proteína en tipos de pan</w:t>
      </w:r>
    </w:p>
    <w:p w14:paraId="18636BA0" w14:textId="77777777" w:rsidR="00123B2F" w:rsidRDefault="003C3CEE">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Fuente: Hernández y Méndez (2022).</w:t>
      </w:r>
    </w:p>
    <w:p w14:paraId="18636BA1" w14:textId="77777777" w:rsidR="00123B2F" w:rsidRDefault="00123B2F">
      <w:pPr>
        <w:spacing w:line="276" w:lineRule="auto"/>
        <w:jc w:val="center"/>
        <w:rPr>
          <w:rFonts w:ascii="Times New Roman" w:eastAsia="Times New Roman" w:hAnsi="Times New Roman" w:cs="Times New Roman"/>
          <w:sz w:val="22"/>
          <w:szCs w:val="22"/>
        </w:rPr>
      </w:pPr>
    </w:p>
    <w:p w14:paraId="18636BA2" w14:textId="77777777" w:rsidR="00123B2F" w:rsidRDefault="003C3CEE">
      <w:pPr>
        <w:spacing w:line="276" w:lineRule="auto"/>
        <w:jc w:val="both"/>
        <w:rPr>
          <w:rFonts w:ascii="Times New Roman" w:eastAsia="Times New Roman" w:hAnsi="Times New Roman" w:cs="Times New Roman"/>
          <w:sz w:val="22"/>
          <w:szCs w:val="22"/>
          <w:highlight w:val="yellow"/>
        </w:rPr>
      </w:pPr>
      <w:r>
        <w:rPr>
          <w:rFonts w:ascii="Times New Roman" w:eastAsia="Times New Roman" w:hAnsi="Times New Roman" w:cs="Times New Roman"/>
          <w:sz w:val="22"/>
          <w:szCs w:val="22"/>
        </w:rPr>
        <w:t>Es importante destacar que, la harina de plátano verde surge como una alternativa de aprovechamiento para la industria panificadora, convirtiéndose en la fórmula ideal para reemplaza</w:t>
      </w:r>
      <w:r>
        <w:rPr>
          <w:rFonts w:ascii="Times New Roman" w:eastAsia="Times New Roman" w:hAnsi="Times New Roman" w:cs="Times New Roman"/>
          <w:sz w:val="22"/>
          <w:szCs w:val="22"/>
        </w:rPr>
        <w:t>r otros ingredientes como la harina de trigo en recetas tradicionales como el pan y demás alimentos cotidianos</w:t>
      </w:r>
      <w:r>
        <w:rPr>
          <w:rFonts w:ascii="Times New Roman" w:eastAsia="Times New Roman" w:hAnsi="Times New Roman" w:cs="Times New Roman"/>
          <w:sz w:val="22"/>
          <w:szCs w:val="22"/>
          <w:vertAlign w:val="superscript"/>
        </w:rPr>
        <w:footnoteReference w:id="41"/>
      </w:r>
      <w:r>
        <w:rPr>
          <w:rFonts w:ascii="Times New Roman" w:eastAsia="Times New Roman" w:hAnsi="Times New Roman" w:cs="Times New Roman"/>
          <w:sz w:val="22"/>
          <w:szCs w:val="22"/>
        </w:rPr>
        <w:t>.</w:t>
      </w:r>
    </w:p>
    <w:p w14:paraId="18636BA3" w14:textId="77777777" w:rsidR="00123B2F" w:rsidRDefault="003C3CEE">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noProof/>
          <w:sz w:val="22"/>
          <w:szCs w:val="22"/>
          <w:lang w:val="es-CO"/>
        </w:rPr>
        <w:drawing>
          <wp:inline distT="114300" distB="114300" distL="114300" distR="114300" wp14:anchorId="18636CAD" wp14:editId="18636CAE">
            <wp:extent cx="2845315" cy="2042391"/>
            <wp:effectExtent l="0" t="0" r="0" b="0"/>
            <wp:docPr id="1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2845315" cy="2042391"/>
                    </a:xfrm>
                    <a:prstGeom prst="rect">
                      <a:avLst/>
                    </a:prstGeom>
                    <a:ln/>
                  </pic:spPr>
                </pic:pic>
              </a:graphicData>
            </a:graphic>
          </wp:inline>
        </w:drawing>
      </w:r>
    </w:p>
    <w:p w14:paraId="18636BA4" w14:textId="77777777" w:rsidR="00123B2F" w:rsidRDefault="003C3CEE">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Figura 5. Insumos requeridos para la producción del pan</w:t>
      </w:r>
    </w:p>
    <w:p w14:paraId="18636BA5" w14:textId="77777777" w:rsidR="00123B2F" w:rsidRDefault="003C3CEE">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Fuente: Hernández y Méndez (2022).</w:t>
      </w:r>
    </w:p>
    <w:p w14:paraId="18636BA6" w14:textId="77777777" w:rsidR="00123B2F" w:rsidRDefault="00123B2F">
      <w:pPr>
        <w:spacing w:line="276" w:lineRule="auto"/>
        <w:jc w:val="center"/>
        <w:rPr>
          <w:rFonts w:ascii="Times New Roman" w:eastAsia="Times New Roman" w:hAnsi="Times New Roman" w:cs="Times New Roman"/>
          <w:b/>
          <w:sz w:val="22"/>
          <w:szCs w:val="22"/>
        </w:rPr>
      </w:pPr>
    </w:p>
    <w:p w14:paraId="18636BA7" w14:textId="77777777" w:rsidR="00123B2F" w:rsidRDefault="00123B2F">
      <w:pPr>
        <w:spacing w:line="276" w:lineRule="auto"/>
        <w:jc w:val="center"/>
        <w:rPr>
          <w:rFonts w:ascii="Times New Roman" w:eastAsia="Times New Roman" w:hAnsi="Times New Roman" w:cs="Times New Roman"/>
          <w:b/>
          <w:sz w:val="22"/>
          <w:szCs w:val="22"/>
        </w:rPr>
      </w:pPr>
    </w:p>
    <w:p w14:paraId="18636BA8" w14:textId="77777777" w:rsidR="00123B2F" w:rsidRDefault="003C3CEE">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2.1.5. Inseguridad en establecimientos comerciales </w:t>
      </w:r>
    </w:p>
    <w:p w14:paraId="18636BA9" w14:textId="77777777" w:rsidR="00123B2F" w:rsidRDefault="00123B2F">
      <w:pPr>
        <w:spacing w:line="276" w:lineRule="auto"/>
        <w:jc w:val="both"/>
        <w:rPr>
          <w:rFonts w:ascii="Times New Roman" w:eastAsia="Times New Roman" w:hAnsi="Times New Roman" w:cs="Times New Roman"/>
          <w:b/>
          <w:sz w:val="22"/>
          <w:szCs w:val="22"/>
        </w:rPr>
      </w:pPr>
    </w:p>
    <w:p w14:paraId="18636BAA"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Según el análisis general de delitos de la Secretaría Distrital de Seguridad, Convivencia y Justicia en lo corrido del 2022 se registraron 10.109 hurtos a comercios en la ciudad. Si bien la Administració</w:t>
      </w:r>
      <w:r>
        <w:rPr>
          <w:rFonts w:ascii="Times New Roman" w:eastAsia="Times New Roman" w:hAnsi="Times New Roman" w:cs="Times New Roman"/>
          <w:sz w:val="22"/>
          <w:szCs w:val="22"/>
        </w:rPr>
        <w:t>n Distrital en el periodo comprendido entre 2021 y 2022 logró la disminución de este tipo de hurtos en un 9,1%, en lo corrido del año 2023 se han presentado ya 5565 casos por lo que subsiste la necesidad de incrementar las medidas tendientes a preservar la</w:t>
      </w:r>
      <w:r>
        <w:rPr>
          <w:rFonts w:ascii="Times New Roman" w:eastAsia="Times New Roman" w:hAnsi="Times New Roman" w:cs="Times New Roman"/>
          <w:sz w:val="22"/>
          <w:szCs w:val="22"/>
        </w:rPr>
        <w:t>s condiciones de seguridad de toda la población, incluyendo los establecimientos y las empresas vinculadas con la cadena productiva del pan (SDSCJ, 2023)</w:t>
      </w:r>
      <w:r>
        <w:rPr>
          <w:rFonts w:ascii="Times New Roman" w:eastAsia="Times New Roman" w:hAnsi="Times New Roman" w:cs="Times New Roman"/>
          <w:sz w:val="22"/>
          <w:szCs w:val="22"/>
          <w:vertAlign w:val="superscript"/>
        </w:rPr>
        <w:footnoteReference w:id="42"/>
      </w:r>
      <w:r>
        <w:rPr>
          <w:rFonts w:ascii="Times New Roman" w:eastAsia="Times New Roman" w:hAnsi="Times New Roman" w:cs="Times New Roman"/>
          <w:sz w:val="22"/>
          <w:szCs w:val="22"/>
        </w:rPr>
        <w:t xml:space="preserve">. </w:t>
      </w:r>
    </w:p>
    <w:p w14:paraId="18636BAB" w14:textId="77777777" w:rsidR="00123B2F" w:rsidRDefault="00123B2F">
      <w:pPr>
        <w:spacing w:line="276" w:lineRule="auto"/>
        <w:rPr>
          <w:rFonts w:ascii="Times New Roman" w:eastAsia="Times New Roman" w:hAnsi="Times New Roman" w:cs="Times New Roman"/>
          <w:sz w:val="22"/>
          <w:szCs w:val="22"/>
        </w:rPr>
      </w:pPr>
    </w:p>
    <w:p w14:paraId="18636BAC" w14:textId="77777777" w:rsidR="00123B2F" w:rsidRDefault="00123B2F">
      <w:pPr>
        <w:spacing w:line="276" w:lineRule="auto"/>
        <w:rPr>
          <w:rFonts w:ascii="Times New Roman" w:eastAsia="Times New Roman" w:hAnsi="Times New Roman" w:cs="Times New Roman"/>
          <w:sz w:val="22"/>
          <w:szCs w:val="22"/>
        </w:rPr>
      </w:pPr>
    </w:p>
    <w:p w14:paraId="18636BAD" w14:textId="77777777" w:rsidR="00123B2F" w:rsidRDefault="003C3CEE">
      <w:pPr>
        <w:spacing w:line="276" w:lineRule="auto"/>
        <w:jc w:val="center"/>
        <w:rPr>
          <w:rFonts w:ascii="Times New Roman" w:eastAsia="Times New Roman" w:hAnsi="Times New Roman" w:cs="Times New Roman"/>
          <w:b/>
          <w:sz w:val="22"/>
          <w:szCs w:val="22"/>
          <w:highlight w:val="white"/>
        </w:rPr>
      </w:pPr>
      <w:r>
        <w:rPr>
          <w:rFonts w:ascii="Times New Roman" w:eastAsia="Times New Roman" w:hAnsi="Times New Roman" w:cs="Times New Roman"/>
          <w:b/>
          <w:sz w:val="22"/>
          <w:szCs w:val="22"/>
          <w:highlight w:val="white"/>
        </w:rPr>
        <w:t>3. ANÁLISIS JURÍDICO DE LA INICIATIVA</w:t>
      </w:r>
    </w:p>
    <w:p w14:paraId="18636BAE" w14:textId="77777777" w:rsidR="00123B2F" w:rsidRDefault="00123B2F">
      <w:pPr>
        <w:spacing w:line="276" w:lineRule="auto"/>
        <w:jc w:val="center"/>
        <w:rPr>
          <w:rFonts w:ascii="Times New Roman" w:eastAsia="Times New Roman" w:hAnsi="Times New Roman" w:cs="Times New Roman"/>
          <w:b/>
          <w:sz w:val="22"/>
          <w:szCs w:val="22"/>
          <w:highlight w:val="white"/>
        </w:rPr>
      </w:pPr>
    </w:p>
    <w:p w14:paraId="18636BAF" w14:textId="77777777" w:rsidR="00123B2F" w:rsidRDefault="003C3CEE">
      <w:pPr>
        <w:spacing w:line="276" w:lineRule="auto"/>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Las disposiciones normativas que sustentan esta iniciativa</w:t>
      </w:r>
      <w:r>
        <w:rPr>
          <w:rFonts w:ascii="Times New Roman" w:eastAsia="Times New Roman" w:hAnsi="Times New Roman" w:cs="Times New Roman"/>
          <w:sz w:val="22"/>
          <w:szCs w:val="22"/>
          <w:highlight w:val="white"/>
        </w:rPr>
        <w:t xml:space="preserve"> están relacionadas con los </w:t>
      </w:r>
      <w:r>
        <w:rPr>
          <w:rFonts w:ascii="Times New Roman" w:eastAsia="Times New Roman" w:hAnsi="Times New Roman" w:cs="Times New Roman"/>
          <w:i/>
          <w:sz w:val="22"/>
          <w:szCs w:val="22"/>
          <w:highlight w:val="white"/>
        </w:rPr>
        <w:t xml:space="preserve">derechos humano a la alimentación y la salud, </w:t>
      </w:r>
      <w:r>
        <w:rPr>
          <w:rFonts w:ascii="Times New Roman" w:eastAsia="Times New Roman" w:hAnsi="Times New Roman" w:cs="Times New Roman"/>
          <w:sz w:val="22"/>
          <w:szCs w:val="22"/>
          <w:highlight w:val="white"/>
        </w:rPr>
        <w:t>pues con su articulado se busca apoyar y fortalecer a una industria que diariamente se encarga de producir uno de los integrantes básicos de la canasta familiar de las personas resid</w:t>
      </w:r>
      <w:r>
        <w:rPr>
          <w:rFonts w:ascii="Times New Roman" w:eastAsia="Times New Roman" w:hAnsi="Times New Roman" w:cs="Times New Roman"/>
          <w:sz w:val="22"/>
          <w:szCs w:val="22"/>
          <w:highlight w:val="white"/>
        </w:rPr>
        <w:t>entes en Bogotá, aportando así en la lucha contra el hambre y la desnutrición. Como también mejorar el valor nutricional de sus productos para aportar en la consolidación de proyectos de vida saludables.</w:t>
      </w:r>
    </w:p>
    <w:p w14:paraId="18636BB0" w14:textId="77777777" w:rsidR="00123B2F" w:rsidRDefault="00123B2F">
      <w:pPr>
        <w:spacing w:line="276" w:lineRule="auto"/>
        <w:jc w:val="both"/>
        <w:rPr>
          <w:rFonts w:ascii="Times New Roman" w:eastAsia="Times New Roman" w:hAnsi="Times New Roman" w:cs="Times New Roman"/>
          <w:sz w:val="22"/>
          <w:szCs w:val="22"/>
          <w:highlight w:val="white"/>
        </w:rPr>
      </w:pPr>
    </w:p>
    <w:p w14:paraId="18636BB1" w14:textId="77777777" w:rsidR="00123B2F" w:rsidRDefault="003C3CEE">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3.1. Bloque de convencionalidad</w:t>
      </w:r>
    </w:p>
    <w:p w14:paraId="18636BB2" w14:textId="77777777" w:rsidR="00123B2F" w:rsidRDefault="00123B2F">
      <w:pPr>
        <w:spacing w:line="276" w:lineRule="auto"/>
        <w:jc w:val="both"/>
        <w:rPr>
          <w:rFonts w:ascii="Times New Roman" w:eastAsia="Times New Roman" w:hAnsi="Times New Roman" w:cs="Times New Roman"/>
          <w:sz w:val="22"/>
          <w:szCs w:val="22"/>
          <w:highlight w:val="yellow"/>
        </w:rPr>
      </w:pPr>
    </w:p>
    <w:p w14:paraId="18636BB3"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el Sistema Universal de Protección de Derechos Humanos, el Pacto Internacional de Derechos Económicos, Sociales y Culturales (1966), aprobado mediante la Ley 74 de 1968, en su artículo 11 se consagra el derecho que tienen todas las personas a un nivel d</w:t>
      </w:r>
      <w:r>
        <w:rPr>
          <w:rFonts w:ascii="Times New Roman" w:eastAsia="Times New Roman" w:hAnsi="Times New Roman" w:cs="Times New Roman"/>
          <w:sz w:val="22"/>
          <w:szCs w:val="22"/>
        </w:rPr>
        <w:t>e vida adecuado, que incluye el acceso a alimentación:</w:t>
      </w:r>
    </w:p>
    <w:p w14:paraId="18636BB4" w14:textId="77777777" w:rsidR="00123B2F" w:rsidRDefault="00123B2F">
      <w:pPr>
        <w:spacing w:line="276" w:lineRule="auto"/>
        <w:jc w:val="both"/>
        <w:rPr>
          <w:rFonts w:ascii="Times New Roman" w:eastAsia="Times New Roman" w:hAnsi="Times New Roman" w:cs="Times New Roman"/>
          <w:sz w:val="22"/>
          <w:szCs w:val="22"/>
        </w:rPr>
      </w:pPr>
    </w:p>
    <w:p w14:paraId="18636BB5"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Artículo 11</w:t>
      </w:r>
    </w:p>
    <w:p w14:paraId="18636BB6" w14:textId="77777777" w:rsidR="00123B2F" w:rsidRDefault="003C3CEE">
      <w:pPr>
        <w:spacing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 xml:space="preserve">1. Los Estados Partes en el presente Pacto reconocen el derecho de toda persona a un nivel de vida adecuado para sí y su familia, </w:t>
      </w:r>
      <w:r>
        <w:rPr>
          <w:rFonts w:ascii="Times New Roman" w:eastAsia="Times New Roman" w:hAnsi="Times New Roman" w:cs="Times New Roman"/>
          <w:i/>
          <w:sz w:val="22"/>
          <w:szCs w:val="22"/>
          <w:u w:val="single"/>
        </w:rPr>
        <w:t>incluso alimentación</w:t>
      </w:r>
      <w:r>
        <w:rPr>
          <w:rFonts w:ascii="Times New Roman" w:eastAsia="Times New Roman" w:hAnsi="Times New Roman" w:cs="Times New Roman"/>
          <w:i/>
          <w:sz w:val="22"/>
          <w:szCs w:val="22"/>
        </w:rPr>
        <w:t xml:space="preserve">, vestido y vivienda adecuados, y a una mejora continua de las condiciones de existencia. Los Estados Partes tomarán medidas apropiadas para asegurar la efectividad de este derecho, reconociendo a este efecto la </w:t>
      </w:r>
      <w:r>
        <w:rPr>
          <w:rFonts w:ascii="Times New Roman" w:eastAsia="Times New Roman" w:hAnsi="Times New Roman" w:cs="Times New Roman"/>
          <w:i/>
          <w:sz w:val="22"/>
          <w:szCs w:val="22"/>
        </w:rPr>
        <w:lastRenderedPageBreak/>
        <w:t>importancia esencial de la cooperación inter</w:t>
      </w:r>
      <w:r>
        <w:rPr>
          <w:rFonts w:ascii="Times New Roman" w:eastAsia="Times New Roman" w:hAnsi="Times New Roman" w:cs="Times New Roman"/>
          <w:i/>
          <w:sz w:val="22"/>
          <w:szCs w:val="22"/>
        </w:rPr>
        <w:t>nacional fundada en el libre consentimiento (...)</w:t>
      </w:r>
      <w:r>
        <w:rPr>
          <w:rFonts w:ascii="Times New Roman" w:eastAsia="Times New Roman" w:hAnsi="Times New Roman" w:cs="Times New Roman"/>
          <w:sz w:val="22"/>
          <w:szCs w:val="22"/>
        </w:rPr>
        <w:t>”</w:t>
      </w:r>
      <w:r>
        <w:rPr>
          <w:rFonts w:ascii="Times New Roman" w:eastAsia="Times New Roman" w:hAnsi="Times New Roman" w:cs="Times New Roman"/>
          <w:sz w:val="22"/>
          <w:szCs w:val="22"/>
          <w:vertAlign w:val="superscript"/>
        </w:rPr>
        <w:footnoteReference w:id="43"/>
      </w:r>
      <w:r>
        <w:rPr>
          <w:rFonts w:ascii="Times New Roman" w:eastAsia="Times New Roman" w:hAnsi="Times New Roman" w:cs="Times New Roman"/>
          <w:sz w:val="22"/>
          <w:szCs w:val="22"/>
        </w:rPr>
        <w:t xml:space="preserve"> (subrayado fuera del texto original).</w:t>
      </w:r>
    </w:p>
    <w:p w14:paraId="18636BB7" w14:textId="77777777" w:rsidR="00123B2F" w:rsidRDefault="00123B2F">
      <w:pPr>
        <w:spacing w:line="276" w:lineRule="auto"/>
        <w:ind w:left="566"/>
        <w:jc w:val="both"/>
        <w:rPr>
          <w:rFonts w:ascii="Times New Roman" w:eastAsia="Times New Roman" w:hAnsi="Times New Roman" w:cs="Times New Roman"/>
          <w:sz w:val="22"/>
          <w:szCs w:val="22"/>
        </w:rPr>
      </w:pPr>
    </w:p>
    <w:p w14:paraId="18636BB8"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Este mismo tratado internacional ratificado por el Estado colombiano en su artículo 12 estipula el derecho de toda persona al disfrute del más alto nivel posible de </w:t>
      </w:r>
      <w:r>
        <w:rPr>
          <w:rFonts w:ascii="Times New Roman" w:eastAsia="Times New Roman" w:hAnsi="Times New Roman" w:cs="Times New Roman"/>
          <w:sz w:val="22"/>
          <w:szCs w:val="22"/>
        </w:rPr>
        <w:t>salud física.</w:t>
      </w:r>
    </w:p>
    <w:p w14:paraId="18636BB9" w14:textId="77777777" w:rsidR="00123B2F" w:rsidRDefault="00123B2F">
      <w:pPr>
        <w:spacing w:line="276" w:lineRule="auto"/>
        <w:jc w:val="both"/>
        <w:rPr>
          <w:rFonts w:ascii="Times New Roman" w:eastAsia="Times New Roman" w:hAnsi="Times New Roman" w:cs="Times New Roman"/>
          <w:sz w:val="22"/>
          <w:szCs w:val="22"/>
        </w:rPr>
      </w:pPr>
    </w:p>
    <w:p w14:paraId="18636BBA"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Aunado a lo anterior, la Convención sobre los Derechos del Niño (1989), aprobada mediante la Ley 12 de 1991, en su artículo 24 consagra el derecho de las niños y las niñas al disfrute del más alto nivel posible de salud, en virtud de lo cual</w:t>
      </w:r>
      <w:r>
        <w:rPr>
          <w:rFonts w:ascii="Times New Roman" w:eastAsia="Times New Roman" w:hAnsi="Times New Roman" w:cs="Times New Roman"/>
          <w:sz w:val="22"/>
          <w:szCs w:val="22"/>
        </w:rPr>
        <w:t xml:space="preserve"> el Estado colombiano tiene dentro de sus obligaciones internacionales combatir la malnutrición mediante estrategias como la aplicación de tecnología y el suministro de alimentos nutritivos:</w:t>
      </w:r>
    </w:p>
    <w:p w14:paraId="18636BBB" w14:textId="77777777" w:rsidR="00123B2F" w:rsidRDefault="00123B2F">
      <w:pPr>
        <w:spacing w:line="276" w:lineRule="auto"/>
        <w:jc w:val="both"/>
        <w:rPr>
          <w:rFonts w:ascii="Times New Roman" w:eastAsia="Times New Roman" w:hAnsi="Times New Roman" w:cs="Times New Roman"/>
          <w:sz w:val="22"/>
          <w:szCs w:val="22"/>
        </w:rPr>
      </w:pPr>
    </w:p>
    <w:p w14:paraId="18636BBC"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Artículo 24</w:t>
      </w:r>
    </w:p>
    <w:p w14:paraId="18636BBD"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1. Los Estados Partes reconocen el derecho del niño</w:t>
      </w:r>
      <w:r>
        <w:rPr>
          <w:rFonts w:ascii="Times New Roman" w:eastAsia="Times New Roman" w:hAnsi="Times New Roman" w:cs="Times New Roman"/>
          <w:i/>
          <w:sz w:val="22"/>
          <w:szCs w:val="22"/>
        </w:rPr>
        <w:t xml:space="preserve"> al disfrute del más alto nivel posible de salud y a servicios para el tratamiento de las enfermedades y la rehabilitación de la salud. Los Estados Partes se esforzarán por asegurar que ningún niño sea privado de su derecho al disfrute de esos servicios sa</w:t>
      </w:r>
      <w:r>
        <w:rPr>
          <w:rFonts w:ascii="Times New Roman" w:eastAsia="Times New Roman" w:hAnsi="Times New Roman" w:cs="Times New Roman"/>
          <w:i/>
          <w:sz w:val="22"/>
          <w:szCs w:val="22"/>
        </w:rPr>
        <w:t>nitarios.</w:t>
      </w:r>
    </w:p>
    <w:p w14:paraId="18636BBE"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2. Los Estados Partes asegurarán la plena aplicación de este derecho y, en particular, adoptarán las medidas apropiadas para:</w:t>
      </w:r>
    </w:p>
    <w:p w14:paraId="18636BBF" w14:textId="77777777" w:rsidR="00123B2F" w:rsidRDefault="00123B2F">
      <w:pPr>
        <w:spacing w:line="276" w:lineRule="auto"/>
        <w:ind w:left="566"/>
        <w:jc w:val="both"/>
        <w:rPr>
          <w:rFonts w:ascii="Times New Roman" w:eastAsia="Times New Roman" w:hAnsi="Times New Roman" w:cs="Times New Roman"/>
          <w:i/>
          <w:sz w:val="22"/>
          <w:szCs w:val="22"/>
        </w:rPr>
      </w:pPr>
    </w:p>
    <w:p w14:paraId="18636BC0"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a) Reducir la mortalidad infantil y en la niñez;</w:t>
      </w:r>
    </w:p>
    <w:p w14:paraId="18636BC1" w14:textId="77777777" w:rsidR="00123B2F" w:rsidRDefault="00123B2F">
      <w:pPr>
        <w:spacing w:line="276" w:lineRule="auto"/>
        <w:ind w:left="566"/>
        <w:jc w:val="both"/>
        <w:rPr>
          <w:rFonts w:ascii="Times New Roman" w:eastAsia="Times New Roman" w:hAnsi="Times New Roman" w:cs="Times New Roman"/>
          <w:i/>
          <w:sz w:val="22"/>
          <w:szCs w:val="22"/>
        </w:rPr>
      </w:pPr>
    </w:p>
    <w:p w14:paraId="18636BC2"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b) Asegurar la prestación de la asistencia médica y la atención sanit</w:t>
      </w:r>
      <w:r>
        <w:rPr>
          <w:rFonts w:ascii="Times New Roman" w:eastAsia="Times New Roman" w:hAnsi="Times New Roman" w:cs="Times New Roman"/>
          <w:i/>
          <w:sz w:val="22"/>
          <w:szCs w:val="22"/>
        </w:rPr>
        <w:t>aria que sean necesarias a todos los niños, haciendo hincapié en el desarrollo de la atención primaria de salud;</w:t>
      </w:r>
    </w:p>
    <w:p w14:paraId="18636BC3" w14:textId="77777777" w:rsidR="00123B2F" w:rsidRDefault="00123B2F">
      <w:pPr>
        <w:spacing w:line="276" w:lineRule="auto"/>
        <w:ind w:left="566"/>
        <w:jc w:val="both"/>
        <w:rPr>
          <w:rFonts w:ascii="Times New Roman" w:eastAsia="Times New Roman" w:hAnsi="Times New Roman" w:cs="Times New Roman"/>
          <w:i/>
          <w:sz w:val="22"/>
          <w:szCs w:val="22"/>
        </w:rPr>
      </w:pPr>
    </w:p>
    <w:p w14:paraId="18636BC4" w14:textId="77777777" w:rsidR="00123B2F" w:rsidRDefault="003C3CEE">
      <w:pPr>
        <w:spacing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 xml:space="preserve">c) </w:t>
      </w:r>
      <w:r>
        <w:rPr>
          <w:rFonts w:ascii="Times New Roman" w:eastAsia="Times New Roman" w:hAnsi="Times New Roman" w:cs="Times New Roman"/>
          <w:i/>
          <w:sz w:val="22"/>
          <w:szCs w:val="22"/>
          <w:u w:val="single"/>
        </w:rPr>
        <w:t>Combatir las enfermedades y la malnutrición en el marco de la atención primaria de la salud mediante, entre otras cosas, la aplicación de l</w:t>
      </w:r>
      <w:r>
        <w:rPr>
          <w:rFonts w:ascii="Times New Roman" w:eastAsia="Times New Roman" w:hAnsi="Times New Roman" w:cs="Times New Roman"/>
          <w:i/>
          <w:sz w:val="22"/>
          <w:szCs w:val="22"/>
          <w:u w:val="single"/>
        </w:rPr>
        <w:t xml:space="preserve">a tecnología disponible y el suministro de </w:t>
      </w:r>
      <w:r>
        <w:rPr>
          <w:rFonts w:ascii="Times New Roman" w:eastAsia="Times New Roman" w:hAnsi="Times New Roman" w:cs="Times New Roman"/>
          <w:i/>
          <w:sz w:val="22"/>
          <w:szCs w:val="22"/>
          <w:u w:val="single"/>
        </w:rPr>
        <w:lastRenderedPageBreak/>
        <w:t>alimentos nutritivos adecuados</w:t>
      </w:r>
      <w:r>
        <w:rPr>
          <w:rFonts w:ascii="Times New Roman" w:eastAsia="Times New Roman" w:hAnsi="Times New Roman" w:cs="Times New Roman"/>
          <w:i/>
          <w:sz w:val="22"/>
          <w:szCs w:val="22"/>
        </w:rPr>
        <w:t xml:space="preserve"> y agua potable salubre, teniendo en cuenta los peligros y riesgos de contaminación del medio ambiente; (...)</w:t>
      </w:r>
      <w:r>
        <w:rPr>
          <w:rFonts w:ascii="Times New Roman" w:eastAsia="Times New Roman" w:hAnsi="Times New Roman" w:cs="Times New Roman"/>
          <w:sz w:val="22"/>
          <w:szCs w:val="22"/>
        </w:rPr>
        <w:t>”</w:t>
      </w:r>
      <w:r>
        <w:rPr>
          <w:rFonts w:ascii="Times New Roman" w:eastAsia="Times New Roman" w:hAnsi="Times New Roman" w:cs="Times New Roman"/>
          <w:sz w:val="22"/>
          <w:szCs w:val="22"/>
          <w:vertAlign w:val="superscript"/>
        </w:rPr>
        <w:footnoteReference w:id="44"/>
      </w:r>
      <w:r>
        <w:rPr>
          <w:rFonts w:ascii="Times New Roman" w:eastAsia="Times New Roman" w:hAnsi="Times New Roman" w:cs="Times New Roman"/>
          <w:sz w:val="22"/>
          <w:szCs w:val="22"/>
        </w:rPr>
        <w:t xml:space="preserve"> (subrayado fuera del texto original).</w:t>
      </w:r>
    </w:p>
    <w:p w14:paraId="18636BC5" w14:textId="77777777" w:rsidR="00123B2F" w:rsidRDefault="00123B2F">
      <w:pPr>
        <w:spacing w:line="276" w:lineRule="auto"/>
        <w:ind w:left="566"/>
        <w:jc w:val="both"/>
        <w:rPr>
          <w:rFonts w:ascii="Times New Roman" w:eastAsia="Times New Roman" w:hAnsi="Times New Roman" w:cs="Times New Roman"/>
          <w:sz w:val="22"/>
          <w:szCs w:val="22"/>
        </w:rPr>
      </w:pPr>
    </w:p>
    <w:p w14:paraId="18636BC6"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su parte, en el Sistema Inte</w:t>
      </w:r>
      <w:r>
        <w:rPr>
          <w:rFonts w:ascii="Times New Roman" w:eastAsia="Times New Roman" w:hAnsi="Times New Roman" w:cs="Times New Roman"/>
          <w:sz w:val="22"/>
          <w:szCs w:val="22"/>
        </w:rPr>
        <w:t>ramericano de Protección de Derechos Humanos, el Protocolo de San Salvador (1988), aprobado mediante la Ley 319 de 1996, contempla el derecho a la alimentación, en cuyo respeto y garantía busca contribuir esta iniciativa normativa:</w:t>
      </w:r>
    </w:p>
    <w:p w14:paraId="18636BC7" w14:textId="77777777" w:rsidR="00123B2F" w:rsidRDefault="00123B2F">
      <w:pPr>
        <w:spacing w:line="276" w:lineRule="auto"/>
        <w:jc w:val="both"/>
        <w:rPr>
          <w:rFonts w:ascii="Times New Roman" w:eastAsia="Times New Roman" w:hAnsi="Times New Roman" w:cs="Times New Roman"/>
          <w:sz w:val="22"/>
          <w:szCs w:val="22"/>
        </w:rPr>
      </w:pPr>
    </w:p>
    <w:p w14:paraId="18636BC8"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 xml:space="preserve">Artículo 12.Derecho a </w:t>
      </w:r>
      <w:r>
        <w:rPr>
          <w:rFonts w:ascii="Times New Roman" w:eastAsia="Times New Roman" w:hAnsi="Times New Roman" w:cs="Times New Roman"/>
          <w:i/>
          <w:sz w:val="22"/>
          <w:szCs w:val="22"/>
        </w:rPr>
        <w:t>la alimentación.</w:t>
      </w:r>
    </w:p>
    <w:p w14:paraId="18636BC9" w14:textId="77777777" w:rsidR="00123B2F" w:rsidRDefault="00123B2F">
      <w:pPr>
        <w:spacing w:line="276" w:lineRule="auto"/>
        <w:ind w:left="566"/>
        <w:jc w:val="both"/>
        <w:rPr>
          <w:rFonts w:ascii="Times New Roman" w:eastAsia="Times New Roman" w:hAnsi="Times New Roman" w:cs="Times New Roman"/>
          <w:i/>
          <w:sz w:val="22"/>
          <w:szCs w:val="22"/>
        </w:rPr>
      </w:pPr>
    </w:p>
    <w:p w14:paraId="18636BCA"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1. Toda persona tiene derecho a una nutrición adecuada que le asegure la posibilidad de gozar del más alto nivel de desarrollo físico, emocional e intelectual.</w:t>
      </w:r>
    </w:p>
    <w:p w14:paraId="18636BCB" w14:textId="77777777" w:rsidR="00123B2F" w:rsidRDefault="00123B2F">
      <w:pPr>
        <w:spacing w:line="276" w:lineRule="auto"/>
        <w:ind w:left="566"/>
        <w:jc w:val="both"/>
        <w:rPr>
          <w:rFonts w:ascii="Times New Roman" w:eastAsia="Times New Roman" w:hAnsi="Times New Roman" w:cs="Times New Roman"/>
          <w:i/>
          <w:sz w:val="22"/>
          <w:szCs w:val="22"/>
        </w:rPr>
      </w:pPr>
    </w:p>
    <w:p w14:paraId="18636BCC" w14:textId="77777777" w:rsidR="00123B2F" w:rsidRDefault="003C3CEE">
      <w:pPr>
        <w:spacing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2. Con el objeto de hacer efectivo este derecho y a erradicar la desnutrición</w:t>
      </w:r>
      <w:r>
        <w:rPr>
          <w:rFonts w:ascii="Times New Roman" w:eastAsia="Times New Roman" w:hAnsi="Times New Roman" w:cs="Times New Roman"/>
          <w:i/>
          <w:sz w:val="22"/>
          <w:szCs w:val="22"/>
        </w:rPr>
        <w:t>, los Estados Partes se comprometen a perfeccionar los métodos de producción, aprovisionamiento y distribución de alimentos, para lo cual se comprometen a promover una mayor cooperación internacional en apoyo de las políticas nacionales sobre la materia</w:t>
      </w:r>
      <w:r>
        <w:rPr>
          <w:rFonts w:ascii="Times New Roman" w:eastAsia="Times New Roman" w:hAnsi="Times New Roman" w:cs="Times New Roman"/>
          <w:sz w:val="22"/>
          <w:szCs w:val="22"/>
        </w:rPr>
        <w:t>”</w:t>
      </w:r>
      <w:r>
        <w:rPr>
          <w:rFonts w:ascii="Times New Roman" w:eastAsia="Times New Roman" w:hAnsi="Times New Roman" w:cs="Times New Roman"/>
          <w:sz w:val="22"/>
          <w:szCs w:val="22"/>
          <w:vertAlign w:val="superscript"/>
        </w:rPr>
        <w:footnoteReference w:id="45"/>
      </w:r>
      <w:r>
        <w:rPr>
          <w:rFonts w:ascii="Times New Roman" w:eastAsia="Times New Roman" w:hAnsi="Times New Roman" w:cs="Times New Roman"/>
          <w:sz w:val="22"/>
          <w:szCs w:val="22"/>
        </w:rPr>
        <w:t>.</w:t>
      </w:r>
    </w:p>
    <w:p w14:paraId="18636BCD" w14:textId="77777777" w:rsidR="00123B2F" w:rsidRDefault="00123B2F">
      <w:pPr>
        <w:spacing w:line="276" w:lineRule="auto"/>
        <w:ind w:left="566"/>
        <w:jc w:val="both"/>
        <w:rPr>
          <w:rFonts w:ascii="Times New Roman" w:eastAsia="Times New Roman" w:hAnsi="Times New Roman" w:cs="Times New Roman"/>
          <w:sz w:val="22"/>
          <w:szCs w:val="22"/>
        </w:rPr>
      </w:pPr>
    </w:p>
    <w:p w14:paraId="18636BCE"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Como también este tratado internacional que hace parte del bloque de convencionalidad establece en su artículo 10 el derecho a la salud del cual son titulares todas las personas, entendido como el disfrute del más alto nivel de bienestar físico, mental y</w:t>
      </w:r>
      <w:r>
        <w:rPr>
          <w:rFonts w:ascii="Times New Roman" w:eastAsia="Times New Roman" w:hAnsi="Times New Roman" w:cs="Times New Roman"/>
          <w:sz w:val="22"/>
          <w:szCs w:val="22"/>
        </w:rPr>
        <w:t xml:space="preserve"> social.</w:t>
      </w:r>
    </w:p>
    <w:p w14:paraId="18636BCF"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 </w:t>
      </w:r>
    </w:p>
    <w:p w14:paraId="18636BD0" w14:textId="77777777" w:rsidR="00123B2F" w:rsidRDefault="003C3CEE">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3.2. Constitución Política</w:t>
      </w:r>
    </w:p>
    <w:p w14:paraId="18636BD1" w14:textId="77777777" w:rsidR="00123B2F" w:rsidRDefault="00123B2F">
      <w:pPr>
        <w:spacing w:line="276" w:lineRule="auto"/>
        <w:jc w:val="both"/>
        <w:rPr>
          <w:rFonts w:ascii="Times New Roman" w:eastAsia="Times New Roman" w:hAnsi="Times New Roman" w:cs="Times New Roman"/>
          <w:b/>
          <w:sz w:val="22"/>
          <w:szCs w:val="22"/>
        </w:rPr>
      </w:pPr>
    </w:p>
    <w:p w14:paraId="18636BD2"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Con la Constitución Política de 1991 se adoptó el modelo de Estado Social y Democrático de Derecho, que está fundado en el respeto por la dignidad humana, en el marco del cual todas las </w:t>
      </w:r>
      <w:r>
        <w:rPr>
          <w:rFonts w:ascii="Times New Roman" w:eastAsia="Times New Roman" w:hAnsi="Times New Roman" w:cs="Times New Roman"/>
          <w:sz w:val="22"/>
          <w:szCs w:val="22"/>
        </w:rPr>
        <w:lastRenderedPageBreak/>
        <w:t>autoridades tanto del nivel nacional y territorial “</w:t>
      </w:r>
      <w:r>
        <w:rPr>
          <w:rFonts w:ascii="Times New Roman" w:eastAsia="Times New Roman" w:hAnsi="Times New Roman" w:cs="Times New Roman"/>
          <w:i/>
          <w:sz w:val="22"/>
          <w:szCs w:val="22"/>
        </w:rPr>
        <w:t xml:space="preserve">están instituidas </w:t>
      </w:r>
      <w:r>
        <w:rPr>
          <w:rFonts w:ascii="Times New Roman" w:eastAsia="Times New Roman" w:hAnsi="Times New Roman" w:cs="Times New Roman"/>
          <w:i/>
          <w:sz w:val="22"/>
          <w:szCs w:val="22"/>
        </w:rPr>
        <w:t>para proteger a todas las personas residentes en Colombia, en su vida, honra, bienes, creencias, y demás derechos y libertades (...)</w:t>
      </w:r>
      <w:r>
        <w:rPr>
          <w:rFonts w:ascii="Times New Roman" w:eastAsia="Times New Roman" w:hAnsi="Times New Roman" w:cs="Times New Roman"/>
          <w:sz w:val="22"/>
          <w:szCs w:val="22"/>
        </w:rPr>
        <w:t>”</w:t>
      </w:r>
      <w:r>
        <w:rPr>
          <w:rFonts w:ascii="Times New Roman" w:eastAsia="Times New Roman" w:hAnsi="Times New Roman" w:cs="Times New Roman"/>
          <w:sz w:val="22"/>
          <w:szCs w:val="22"/>
          <w:vertAlign w:val="superscript"/>
        </w:rPr>
        <w:footnoteReference w:id="46"/>
      </w:r>
      <w:r>
        <w:rPr>
          <w:rFonts w:ascii="Times New Roman" w:eastAsia="Times New Roman" w:hAnsi="Times New Roman" w:cs="Times New Roman"/>
          <w:sz w:val="22"/>
          <w:szCs w:val="22"/>
        </w:rPr>
        <w:t>.</w:t>
      </w:r>
    </w:p>
    <w:p w14:paraId="18636BD3" w14:textId="77777777" w:rsidR="00123B2F" w:rsidRDefault="00123B2F">
      <w:pPr>
        <w:spacing w:line="276" w:lineRule="auto"/>
        <w:jc w:val="both"/>
        <w:rPr>
          <w:rFonts w:ascii="Times New Roman" w:eastAsia="Times New Roman" w:hAnsi="Times New Roman" w:cs="Times New Roman"/>
          <w:b/>
          <w:sz w:val="22"/>
          <w:szCs w:val="22"/>
        </w:rPr>
      </w:pPr>
    </w:p>
    <w:p w14:paraId="18636BD4"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esta Carta Política se consagra en el artículo 49 el derecho fundamental a la salud de todas las personas. Adicional</w:t>
      </w:r>
      <w:r>
        <w:rPr>
          <w:rFonts w:ascii="Times New Roman" w:eastAsia="Times New Roman" w:hAnsi="Times New Roman" w:cs="Times New Roman"/>
          <w:sz w:val="22"/>
          <w:szCs w:val="22"/>
        </w:rPr>
        <w:t>mente, el artículo 44 constitucional establece que uno de los derechos fundamentales de los niños y las niñas es la alimentación equilibrada:</w:t>
      </w:r>
    </w:p>
    <w:p w14:paraId="18636BD5" w14:textId="77777777" w:rsidR="00123B2F" w:rsidRDefault="00123B2F">
      <w:pPr>
        <w:spacing w:line="276" w:lineRule="auto"/>
        <w:jc w:val="both"/>
        <w:rPr>
          <w:rFonts w:ascii="Times New Roman" w:eastAsia="Times New Roman" w:hAnsi="Times New Roman" w:cs="Times New Roman"/>
          <w:sz w:val="22"/>
          <w:szCs w:val="22"/>
        </w:rPr>
      </w:pPr>
    </w:p>
    <w:p w14:paraId="18636BD6" w14:textId="77777777" w:rsidR="00123B2F" w:rsidRDefault="003C3CEE">
      <w:pPr>
        <w:spacing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 xml:space="preserve">“ARTÍCULO 44. </w:t>
      </w:r>
      <w:r>
        <w:rPr>
          <w:rFonts w:ascii="Times New Roman" w:eastAsia="Times New Roman" w:hAnsi="Times New Roman" w:cs="Times New Roman"/>
          <w:i/>
          <w:sz w:val="22"/>
          <w:szCs w:val="22"/>
          <w:u w:val="single"/>
        </w:rPr>
        <w:t>Son derechos fundamentales de los niños:</w:t>
      </w:r>
      <w:r>
        <w:rPr>
          <w:rFonts w:ascii="Times New Roman" w:eastAsia="Times New Roman" w:hAnsi="Times New Roman" w:cs="Times New Roman"/>
          <w:i/>
          <w:sz w:val="22"/>
          <w:szCs w:val="22"/>
        </w:rPr>
        <w:t xml:space="preserve"> la vida, la integridad física, la salud y la seguridad soc</w:t>
      </w:r>
      <w:r>
        <w:rPr>
          <w:rFonts w:ascii="Times New Roman" w:eastAsia="Times New Roman" w:hAnsi="Times New Roman" w:cs="Times New Roman"/>
          <w:i/>
          <w:sz w:val="22"/>
          <w:szCs w:val="22"/>
        </w:rPr>
        <w:t xml:space="preserve">ial, </w:t>
      </w:r>
      <w:r>
        <w:rPr>
          <w:rFonts w:ascii="Times New Roman" w:eastAsia="Times New Roman" w:hAnsi="Times New Roman" w:cs="Times New Roman"/>
          <w:i/>
          <w:sz w:val="22"/>
          <w:szCs w:val="22"/>
          <w:u w:val="single"/>
        </w:rPr>
        <w:t>la alimentación equilibrada</w:t>
      </w:r>
      <w:r>
        <w:rPr>
          <w:rFonts w:ascii="Times New Roman" w:eastAsia="Times New Roman" w:hAnsi="Times New Roman" w:cs="Times New Roman"/>
          <w:i/>
          <w:sz w:val="22"/>
          <w:szCs w:val="22"/>
        </w:rPr>
        <w:t>, su nombre y nacionalidad, tener una familia y no ser separados de ella, el cuidado y amor, la educación y la cultura, la recreación y la libre expresión de su opinión. Serán protegidos contra toda forma de abandono, violen</w:t>
      </w:r>
      <w:r>
        <w:rPr>
          <w:rFonts w:ascii="Times New Roman" w:eastAsia="Times New Roman" w:hAnsi="Times New Roman" w:cs="Times New Roman"/>
          <w:i/>
          <w:sz w:val="22"/>
          <w:szCs w:val="22"/>
        </w:rPr>
        <w:t>cia física o moral, secuestro, venta, abuso sexual, explotación laboral o económica y trabajos riesgosos. Gozarán también de los demás derechos consagrados en la Constitución, en las leyes y en los tratados internacionales ratificados por Colombia”</w:t>
      </w:r>
      <w:r>
        <w:rPr>
          <w:rFonts w:ascii="Times New Roman" w:eastAsia="Times New Roman" w:hAnsi="Times New Roman" w:cs="Times New Roman"/>
          <w:sz w:val="22"/>
          <w:szCs w:val="22"/>
          <w:vertAlign w:val="superscript"/>
        </w:rPr>
        <w:footnoteReference w:id="47"/>
      </w:r>
      <w:r>
        <w:rPr>
          <w:rFonts w:ascii="Times New Roman" w:eastAsia="Times New Roman" w:hAnsi="Times New Roman" w:cs="Times New Roman"/>
          <w:i/>
          <w:sz w:val="22"/>
          <w:szCs w:val="22"/>
        </w:rPr>
        <w:t xml:space="preserve"> </w:t>
      </w:r>
      <w:r>
        <w:rPr>
          <w:rFonts w:ascii="Times New Roman" w:eastAsia="Times New Roman" w:hAnsi="Times New Roman" w:cs="Times New Roman"/>
          <w:sz w:val="22"/>
          <w:szCs w:val="22"/>
        </w:rPr>
        <w:t>(subra</w:t>
      </w:r>
      <w:r>
        <w:rPr>
          <w:rFonts w:ascii="Times New Roman" w:eastAsia="Times New Roman" w:hAnsi="Times New Roman" w:cs="Times New Roman"/>
          <w:sz w:val="22"/>
          <w:szCs w:val="22"/>
        </w:rPr>
        <w:t>yado fuera del texto original).</w:t>
      </w:r>
    </w:p>
    <w:p w14:paraId="18636BD7" w14:textId="77777777" w:rsidR="00123B2F" w:rsidRDefault="00123B2F">
      <w:pPr>
        <w:spacing w:line="276" w:lineRule="auto"/>
        <w:ind w:left="566"/>
        <w:jc w:val="both"/>
        <w:rPr>
          <w:rFonts w:ascii="Times New Roman" w:eastAsia="Times New Roman" w:hAnsi="Times New Roman" w:cs="Times New Roman"/>
          <w:sz w:val="22"/>
          <w:szCs w:val="22"/>
        </w:rPr>
      </w:pPr>
    </w:p>
    <w:p w14:paraId="18636BD8" w14:textId="77777777" w:rsidR="00123B2F" w:rsidRDefault="003C3CEE">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Adicionalmente, el artículo 65 constitucional estipula que en el Estado colombiano la producción de alimentos goza de especial protección del Estado, en virtud de su importancia estratégica para la supervivencia de sus habi</w:t>
      </w:r>
      <w:r>
        <w:rPr>
          <w:rFonts w:ascii="Times New Roman" w:eastAsia="Times New Roman" w:hAnsi="Times New Roman" w:cs="Times New Roman"/>
          <w:sz w:val="22"/>
          <w:szCs w:val="22"/>
        </w:rPr>
        <w:t>tantes:</w:t>
      </w:r>
    </w:p>
    <w:p w14:paraId="18636BD9" w14:textId="77777777" w:rsidR="00123B2F" w:rsidRDefault="00123B2F">
      <w:pPr>
        <w:spacing w:line="276" w:lineRule="auto"/>
        <w:jc w:val="both"/>
        <w:rPr>
          <w:rFonts w:ascii="Times New Roman" w:eastAsia="Times New Roman" w:hAnsi="Times New Roman" w:cs="Times New Roman"/>
          <w:sz w:val="22"/>
          <w:szCs w:val="22"/>
        </w:rPr>
      </w:pPr>
    </w:p>
    <w:p w14:paraId="18636BDA" w14:textId="77777777" w:rsidR="00123B2F" w:rsidRDefault="003C3CEE">
      <w:pPr>
        <w:spacing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 xml:space="preserve">ARTÍCULO 65. </w:t>
      </w:r>
      <w:r>
        <w:rPr>
          <w:rFonts w:ascii="Times New Roman" w:eastAsia="Times New Roman" w:hAnsi="Times New Roman" w:cs="Times New Roman"/>
          <w:i/>
          <w:sz w:val="22"/>
          <w:szCs w:val="22"/>
          <w:u w:val="single"/>
        </w:rPr>
        <w:t>La producción de alimentos gozará de la especial protección del Estado</w:t>
      </w:r>
      <w:r>
        <w:rPr>
          <w:rFonts w:ascii="Times New Roman" w:eastAsia="Times New Roman" w:hAnsi="Times New Roman" w:cs="Times New Roman"/>
          <w:i/>
          <w:sz w:val="22"/>
          <w:szCs w:val="22"/>
        </w:rPr>
        <w:t>. Para tal efecto, se otorgará prioridad al desarrollo integral de las actividades agrícolas, pecuarias, pesqueras, forestales y agroindustriales, así como también</w:t>
      </w:r>
      <w:r>
        <w:rPr>
          <w:rFonts w:ascii="Times New Roman" w:eastAsia="Times New Roman" w:hAnsi="Times New Roman" w:cs="Times New Roman"/>
          <w:i/>
          <w:sz w:val="22"/>
          <w:szCs w:val="22"/>
        </w:rPr>
        <w:t xml:space="preserve"> a la construcción de obras de infraestructura física y adecuación de tierras.</w:t>
      </w:r>
    </w:p>
    <w:p w14:paraId="18636BDB" w14:textId="77777777" w:rsidR="00123B2F" w:rsidRDefault="00123B2F">
      <w:pPr>
        <w:spacing w:line="276" w:lineRule="auto"/>
        <w:ind w:left="566"/>
        <w:jc w:val="both"/>
        <w:rPr>
          <w:rFonts w:ascii="Times New Roman" w:eastAsia="Times New Roman" w:hAnsi="Times New Roman" w:cs="Times New Roman"/>
          <w:i/>
          <w:sz w:val="22"/>
          <w:szCs w:val="22"/>
        </w:rPr>
      </w:pPr>
    </w:p>
    <w:p w14:paraId="18636BDC" w14:textId="77777777" w:rsidR="00123B2F" w:rsidRDefault="003C3CEE">
      <w:pPr>
        <w:spacing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De igual manera, el Estado promoverá la investigación y la transferencia de tecnología para la producción de alimentos y materias primas de origen agropecuario, con el propósit</w:t>
      </w:r>
      <w:r>
        <w:rPr>
          <w:rFonts w:ascii="Times New Roman" w:eastAsia="Times New Roman" w:hAnsi="Times New Roman" w:cs="Times New Roman"/>
          <w:i/>
          <w:sz w:val="22"/>
          <w:szCs w:val="22"/>
        </w:rPr>
        <w:t>o de incrementar la productividad</w:t>
      </w:r>
      <w:r>
        <w:rPr>
          <w:rFonts w:ascii="Times New Roman" w:eastAsia="Times New Roman" w:hAnsi="Times New Roman" w:cs="Times New Roman"/>
          <w:sz w:val="22"/>
          <w:szCs w:val="22"/>
        </w:rPr>
        <w:t>”</w:t>
      </w:r>
      <w:r>
        <w:rPr>
          <w:rFonts w:ascii="Times New Roman" w:eastAsia="Times New Roman" w:hAnsi="Times New Roman" w:cs="Times New Roman"/>
          <w:sz w:val="22"/>
          <w:szCs w:val="22"/>
          <w:vertAlign w:val="superscript"/>
        </w:rPr>
        <w:footnoteReference w:id="48"/>
      </w:r>
      <w:r>
        <w:rPr>
          <w:rFonts w:ascii="Times New Roman" w:eastAsia="Times New Roman" w:hAnsi="Times New Roman" w:cs="Times New Roman"/>
          <w:sz w:val="22"/>
          <w:szCs w:val="22"/>
        </w:rPr>
        <w:t xml:space="preserve"> (subrayado fuera del texto original).</w:t>
      </w:r>
    </w:p>
    <w:p w14:paraId="18636BDD" w14:textId="77777777" w:rsidR="00123B2F" w:rsidRDefault="00123B2F">
      <w:pPr>
        <w:spacing w:line="276" w:lineRule="auto"/>
        <w:jc w:val="both"/>
        <w:rPr>
          <w:rFonts w:ascii="Times New Roman" w:eastAsia="Times New Roman" w:hAnsi="Times New Roman" w:cs="Times New Roman"/>
          <w:b/>
          <w:sz w:val="22"/>
          <w:szCs w:val="22"/>
        </w:rPr>
      </w:pPr>
    </w:p>
    <w:p w14:paraId="18636BDE" w14:textId="77777777" w:rsidR="00123B2F" w:rsidRDefault="003C3CEE">
      <w:pPr>
        <w:spacing w:line="276" w:lineRule="auto"/>
        <w:jc w:val="both"/>
        <w:rPr>
          <w:rFonts w:ascii="Times New Roman" w:eastAsia="Times New Roman" w:hAnsi="Times New Roman" w:cs="Times New Roman"/>
          <w:b/>
          <w:sz w:val="22"/>
          <w:szCs w:val="22"/>
          <w:highlight w:val="white"/>
        </w:rPr>
      </w:pPr>
      <w:r>
        <w:rPr>
          <w:rFonts w:ascii="Times New Roman" w:eastAsia="Times New Roman" w:hAnsi="Times New Roman" w:cs="Times New Roman"/>
          <w:b/>
          <w:sz w:val="22"/>
          <w:szCs w:val="22"/>
        </w:rPr>
        <w:t>3.3. Normas legales</w:t>
      </w:r>
      <w:r>
        <w:rPr>
          <w:rFonts w:ascii="Times New Roman" w:eastAsia="Times New Roman" w:hAnsi="Times New Roman" w:cs="Times New Roman"/>
          <w:b/>
          <w:sz w:val="22"/>
          <w:szCs w:val="22"/>
          <w:highlight w:val="white"/>
        </w:rPr>
        <w:t xml:space="preserve"> y reglamentarias</w:t>
      </w:r>
    </w:p>
    <w:p w14:paraId="18636BDF" w14:textId="77777777" w:rsidR="00123B2F" w:rsidRDefault="00123B2F">
      <w:pPr>
        <w:spacing w:line="276" w:lineRule="auto"/>
        <w:jc w:val="both"/>
        <w:rPr>
          <w:rFonts w:ascii="Times New Roman" w:eastAsia="Times New Roman" w:hAnsi="Times New Roman" w:cs="Times New Roman"/>
          <w:b/>
          <w:sz w:val="22"/>
          <w:szCs w:val="22"/>
          <w:highlight w:val="white"/>
        </w:rPr>
      </w:pPr>
    </w:p>
    <w:p w14:paraId="18636BE0" w14:textId="77777777" w:rsidR="00123B2F" w:rsidRDefault="003C3CEE">
      <w:pPr>
        <w:spacing w:line="276" w:lineRule="auto"/>
        <w:jc w:val="both"/>
        <w:rPr>
          <w:rFonts w:ascii="Times New Roman" w:eastAsia="Times New Roman" w:hAnsi="Times New Roman" w:cs="Times New Roman"/>
          <w:b/>
          <w:sz w:val="22"/>
          <w:szCs w:val="22"/>
          <w:highlight w:val="white"/>
        </w:rPr>
      </w:pPr>
      <w:r>
        <w:rPr>
          <w:rFonts w:ascii="Times New Roman" w:eastAsia="Times New Roman" w:hAnsi="Times New Roman" w:cs="Times New Roman"/>
          <w:b/>
          <w:sz w:val="22"/>
          <w:szCs w:val="22"/>
          <w:highlight w:val="white"/>
        </w:rPr>
        <w:t>3.3.1. Del orden nacional</w:t>
      </w:r>
    </w:p>
    <w:p w14:paraId="18636BE1" w14:textId="77777777" w:rsidR="00123B2F" w:rsidRDefault="00123B2F">
      <w:pPr>
        <w:spacing w:line="276" w:lineRule="auto"/>
        <w:jc w:val="both"/>
        <w:rPr>
          <w:rFonts w:ascii="Times New Roman" w:eastAsia="Times New Roman" w:hAnsi="Times New Roman" w:cs="Times New Roman"/>
          <w:b/>
          <w:sz w:val="22"/>
          <w:szCs w:val="22"/>
          <w:highlight w:val="white"/>
        </w:rPr>
      </w:pPr>
    </w:p>
    <w:p w14:paraId="18636BE2" w14:textId="77777777" w:rsidR="00123B2F" w:rsidRDefault="003C3CEE">
      <w:pPr>
        <w:spacing w:line="276" w:lineRule="auto"/>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La Ley 9 de 1979 dicta medidas sanitarias. En su título V regula específicamente lo relacionado con las industrias alimentarias. Por tanto, sus disposiciones normativas deben ser respetadas por la industria panificadora de la ciudad.</w:t>
      </w:r>
    </w:p>
    <w:p w14:paraId="18636BE3" w14:textId="77777777" w:rsidR="00123B2F" w:rsidRDefault="00123B2F">
      <w:pPr>
        <w:spacing w:line="276" w:lineRule="auto"/>
        <w:jc w:val="both"/>
        <w:rPr>
          <w:rFonts w:ascii="Times New Roman" w:eastAsia="Times New Roman" w:hAnsi="Times New Roman" w:cs="Times New Roman"/>
          <w:b/>
          <w:sz w:val="22"/>
          <w:szCs w:val="22"/>
          <w:highlight w:val="white"/>
        </w:rPr>
      </w:pPr>
    </w:p>
    <w:p w14:paraId="18636BE4" w14:textId="77777777" w:rsidR="00123B2F" w:rsidRDefault="003C3CEE">
      <w:pPr>
        <w:spacing w:line="276" w:lineRule="auto"/>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 xml:space="preserve">El  Decreto Nacional </w:t>
      </w:r>
      <w:r>
        <w:rPr>
          <w:rFonts w:ascii="Times New Roman" w:eastAsia="Times New Roman" w:hAnsi="Times New Roman" w:cs="Times New Roman"/>
          <w:sz w:val="22"/>
          <w:szCs w:val="22"/>
          <w:highlight w:val="white"/>
        </w:rPr>
        <w:t>1944 de 1996 reglamenta la fortificación de la harina de trigo, ingrediente fundamental del pan e integrante de su cadena productiva, así mismo, establece las condiciones para su comercialización, rotulado y vigilancia. En particular, el artículo 1 estipul</w:t>
      </w:r>
      <w:r>
        <w:rPr>
          <w:rFonts w:ascii="Times New Roman" w:eastAsia="Times New Roman" w:hAnsi="Times New Roman" w:cs="Times New Roman"/>
          <w:sz w:val="22"/>
          <w:szCs w:val="22"/>
          <w:highlight w:val="white"/>
        </w:rPr>
        <w:t>a una de las características esenciales que tiene este producto y, en virtud del cual, es esencial en la lucha contra el hambre y la desnutrición, pues la harina de trigo que se comercializa en el país está fortificada con vitamina B1, vitamina B2, niacina</w:t>
      </w:r>
      <w:r>
        <w:rPr>
          <w:rFonts w:ascii="Times New Roman" w:eastAsia="Times New Roman" w:hAnsi="Times New Roman" w:cs="Times New Roman"/>
          <w:sz w:val="22"/>
          <w:szCs w:val="22"/>
          <w:highlight w:val="white"/>
        </w:rPr>
        <w:t>, ácido fólico y hierro, lo cual es obligación de los fabricantes. Así:</w:t>
      </w:r>
    </w:p>
    <w:p w14:paraId="18636BE5" w14:textId="77777777" w:rsidR="00123B2F" w:rsidRDefault="00123B2F">
      <w:pPr>
        <w:spacing w:line="276" w:lineRule="auto"/>
        <w:jc w:val="both"/>
        <w:rPr>
          <w:rFonts w:ascii="Times New Roman" w:eastAsia="Times New Roman" w:hAnsi="Times New Roman" w:cs="Times New Roman"/>
          <w:sz w:val="22"/>
          <w:szCs w:val="22"/>
          <w:highlight w:val="white"/>
        </w:rPr>
      </w:pPr>
    </w:p>
    <w:p w14:paraId="18636BE6" w14:textId="77777777" w:rsidR="00123B2F" w:rsidRDefault="003C3CEE">
      <w:pPr>
        <w:spacing w:line="276" w:lineRule="auto"/>
        <w:ind w:left="566"/>
        <w:jc w:val="both"/>
        <w:rPr>
          <w:rFonts w:ascii="Times New Roman" w:eastAsia="Times New Roman" w:hAnsi="Times New Roman" w:cs="Times New Roman"/>
          <w:i/>
          <w:sz w:val="22"/>
          <w:szCs w:val="22"/>
          <w:highlight w:val="white"/>
        </w:rPr>
      </w:pPr>
      <w:r>
        <w:rPr>
          <w:rFonts w:ascii="Times New Roman" w:eastAsia="Times New Roman" w:hAnsi="Times New Roman" w:cs="Times New Roman"/>
          <w:sz w:val="22"/>
          <w:szCs w:val="22"/>
          <w:highlight w:val="white"/>
        </w:rPr>
        <w:t>“</w:t>
      </w:r>
      <w:r>
        <w:rPr>
          <w:rFonts w:ascii="Times New Roman" w:eastAsia="Times New Roman" w:hAnsi="Times New Roman" w:cs="Times New Roman"/>
          <w:b/>
          <w:i/>
          <w:sz w:val="22"/>
          <w:szCs w:val="22"/>
          <w:highlight w:val="white"/>
        </w:rPr>
        <w:t xml:space="preserve">Artículo 2º. Obligatoriedad de fortificación. </w:t>
      </w:r>
      <w:r>
        <w:rPr>
          <w:rFonts w:ascii="Times New Roman" w:eastAsia="Times New Roman" w:hAnsi="Times New Roman" w:cs="Times New Roman"/>
          <w:i/>
          <w:sz w:val="22"/>
          <w:szCs w:val="22"/>
          <w:highlight w:val="white"/>
        </w:rPr>
        <w:t>La harina de trigo que se comercializa en el territorio nacional deberá estar fortificada con vitamina B1, vitamina B2, niacina, ácido f</w:t>
      </w:r>
      <w:r>
        <w:rPr>
          <w:rFonts w:ascii="Times New Roman" w:eastAsia="Times New Roman" w:hAnsi="Times New Roman" w:cs="Times New Roman"/>
          <w:i/>
          <w:sz w:val="22"/>
          <w:szCs w:val="22"/>
          <w:highlight w:val="white"/>
        </w:rPr>
        <w:t>ólico y hierro.</w:t>
      </w:r>
    </w:p>
    <w:p w14:paraId="18636BE7" w14:textId="77777777" w:rsidR="00123B2F" w:rsidRDefault="00123B2F">
      <w:pPr>
        <w:spacing w:line="276" w:lineRule="auto"/>
        <w:ind w:left="566"/>
        <w:jc w:val="both"/>
        <w:rPr>
          <w:rFonts w:ascii="Times New Roman" w:eastAsia="Times New Roman" w:hAnsi="Times New Roman" w:cs="Times New Roman"/>
          <w:i/>
          <w:sz w:val="22"/>
          <w:szCs w:val="22"/>
          <w:highlight w:val="white"/>
        </w:rPr>
      </w:pPr>
    </w:p>
    <w:p w14:paraId="18636BE8" w14:textId="77777777" w:rsidR="00123B2F" w:rsidRDefault="003C3CEE">
      <w:pPr>
        <w:spacing w:line="276" w:lineRule="auto"/>
        <w:ind w:left="566"/>
        <w:jc w:val="both"/>
        <w:rPr>
          <w:rFonts w:ascii="Times New Roman" w:eastAsia="Times New Roman" w:hAnsi="Times New Roman" w:cs="Times New Roman"/>
          <w:sz w:val="22"/>
          <w:szCs w:val="22"/>
          <w:highlight w:val="white"/>
        </w:rPr>
      </w:pPr>
      <w:r>
        <w:rPr>
          <w:rFonts w:ascii="Times New Roman" w:eastAsia="Times New Roman" w:hAnsi="Times New Roman" w:cs="Times New Roman"/>
          <w:b/>
          <w:i/>
          <w:sz w:val="22"/>
          <w:szCs w:val="22"/>
          <w:highlight w:val="white"/>
        </w:rPr>
        <w:t>Parágrafo.</w:t>
      </w:r>
      <w:r>
        <w:rPr>
          <w:rFonts w:ascii="Times New Roman" w:eastAsia="Times New Roman" w:hAnsi="Times New Roman" w:cs="Times New Roman"/>
          <w:i/>
          <w:sz w:val="22"/>
          <w:szCs w:val="22"/>
          <w:highlight w:val="white"/>
        </w:rPr>
        <w:t xml:space="preserve"> La adición de calcio podrá hacerse de manera opcional</w:t>
      </w:r>
      <w:r>
        <w:rPr>
          <w:rFonts w:ascii="Times New Roman" w:eastAsia="Times New Roman" w:hAnsi="Times New Roman" w:cs="Times New Roman"/>
          <w:sz w:val="22"/>
          <w:szCs w:val="22"/>
          <w:highlight w:val="white"/>
        </w:rPr>
        <w:t>”</w:t>
      </w:r>
      <w:r>
        <w:rPr>
          <w:rFonts w:ascii="Times New Roman" w:eastAsia="Times New Roman" w:hAnsi="Times New Roman" w:cs="Times New Roman"/>
          <w:sz w:val="22"/>
          <w:szCs w:val="22"/>
          <w:highlight w:val="white"/>
          <w:vertAlign w:val="superscript"/>
        </w:rPr>
        <w:footnoteReference w:id="49"/>
      </w:r>
      <w:r>
        <w:rPr>
          <w:rFonts w:ascii="Times New Roman" w:eastAsia="Times New Roman" w:hAnsi="Times New Roman" w:cs="Times New Roman"/>
          <w:sz w:val="22"/>
          <w:szCs w:val="22"/>
          <w:highlight w:val="white"/>
        </w:rPr>
        <w:t>.</w:t>
      </w:r>
    </w:p>
    <w:p w14:paraId="18636BE9" w14:textId="77777777" w:rsidR="00123B2F" w:rsidRDefault="00123B2F">
      <w:pPr>
        <w:spacing w:line="276" w:lineRule="auto"/>
        <w:jc w:val="both"/>
        <w:rPr>
          <w:rFonts w:ascii="Times New Roman" w:eastAsia="Times New Roman" w:hAnsi="Times New Roman" w:cs="Times New Roman"/>
          <w:sz w:val="22"/>
          <w:szCs w:val="22"/>
          <w:highlight w:val="white"/>
        </w:rPr>
      </w:pPr>
    </w:p>
    <w:p w14:paraId="18636BEA" w14:textId="77777777" w:rsidR="00123B2F" w:rsidRDefault="003C3CEE">
      <w:pPr>
        <w:spacing w:line="276" w:lineRule="auto"/>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Adicionalmente, la Resolución Nº 2013 de 2020 del Ministerio de Salud y Protección Social, conocida como la “Ley del Sodio”, establece el reglamento técnico que define lo</w:t>
      </w:r>
      <w:r>
        <w:rPr>
          <w:rFonts w:ascii="Times New Roman" w:eastAsia="Times New Roman" w:hAnsi="Times New Roman" w:cs="Times New Roman"/>
          <w:sz w:val="22"/>
          <w:szCs w:val="22"/>
          <w:highlight w:val="white"/>
        </w:rPr>
        <w:t>s contenidos máximos de sodio de los alimentos procesados priorizados en el marco de la Estrategia Nacional de Reducción del Consumo de Sodio y se dictan otras disposiciones, cobijando al pan y los productos de panificación.</w:t>
      </w:r>
    </w:p>
    <w:p w14:paraId="18636BEB" w14:textId="77777777" w:rsidR="00123B2F" w:rsidRDefault="00123B2F">
      <w:pPr>
        <w:spacing w:line="276" w:lineRule="auto"/>
        <w:jc w:val="both"/>
        <w:rPr>
          <w:rFonts w:ascii="Times New Roman" w:eastAsia="Times New Roman" w:hAnsi="Times New Roman" w:cs="Times New Roman"/>
          <w:sz w:val="22"/>
          <w:szCs w:val="22"/>
        </w:rPr>
      </w:pPr>
    </w:p>
    <w:p w14:paraId="18636BEC" w14:textId="77777777" w:rsidR="00123B2F" w:rsidRDefault="003C3CEE">
      <w:pPr>
        <w:spacing w:line="276" w:lineRule="auto"/>
        <w:jc w:val="both"/>
        <w:rPr>
          <w:rFonts w:ascii="Times New Roman" w:eastAsia="Times New Roman" w:hAnsi="Times New Roman" w:cs="Times New Roman"/>
          <w:b/>
          <w:color w:val="202124"/>
          <w:sz w:val="22"/>
          <w:szCs w:val="22"/>
        </w:rPr>
      </w:pPr>
      <w:r>
        <w:rPr>
          <w:rFonts w:ascii="Times New Roman" w:eastAsia="Times New Roman" w:hAnsi="Times New Roman" w:cs="Times New Roman"/>
          <w:b/>
          <w:sz w:val="22"/>
          <w:szCs w:val="22"/>
        </w:rPr>
        <w:t>3.3.2. Del orden distrital</w:t>
      </w:r>
    </w:p>
    <w:p w14:paraId="18636BED" w14:textId="77777777" w:rsidR="00123B2F" w:rsidRDefault="00123B2F">
      <w:pPr>
        <w:spacing w:line="276" w:lineRule="auto"/>
        <w:jc w:val="both"/>
        <w:rPr>
          <w:rFonts w:ascii="Times New Roman" w:eastAsia="Times New Roman" w:hAnsi="Times New Roman" w:cs="Times New Roman"/>
          <w:color w:val="202124"/>
          <w:sz w:val="22"/>
          <w:szCs w:val="22"/>
          <w:highlight w:val="yellow"/>
        </w:rPr>
      </w:pPr>
    </w:p>
    <w:p w14:paraId="18636BEE" w14:textId="77777777" w:rsidR="00123B2F" w:rsidRDefault="003C3CEE">
      <w:pPr>
        <w:spacing w:line="276" w:lineRule="auto"/>
        <w:jc w:val="both"/>
        <w:rPr>
          <w:rFonts w:ascii="Times New Roman" w:eastAsia="Times New Roman" w:hAnsi="Times New Roman" w:cs="Times New Roman"/>
          <w:color w:val="202124"/>
          <w:sz w:val="22"/>
          <w:szCs w:val="22"/>
        </w:rPr>
      </w:pPr>
      <w:r>
        <w:rPr>
          <w:rFonts w:ascii="Times New Roman" w:eastAsia="Times New Roman" w:hAnsi="Times New Roman" w:cs="Times New Roman"/>
          <w:color w:val="202124"/>
          <w:sz w:val="22"/>
          <w:szCs w:val="22"/>
        </w:rPr>
        <w:t>El Acuerdo Distrital 186 de 2005 establece los lineamientos de la Política de Seguridad Alimentaria Distrital, define los principios orientadores, sus objetivos y componentes, sostenibilidad, señala las entidades encargadas de su implementación y constituy</w:t>
      </w:r>
      <w:r>
        <w:rPr>
          <w:rFonts w:ascii="Times New Roman" w:eastAsia="Times New Roman" w:hAnsi="Times New Roman" w:cs="Times New Roman"/>
          <w:color w:val="202124"/>
          <w:sz w:val="22"/>
          <w:szCs w:val="22"/>
        </w:rPr>
        <w:t>e el 16 de octubre como el Día de la Seguridad Alimentaria en el Distrito Capital.</w:t>
      </w:r>
    </w:p>
    <w:p w14:paraId="18636BEF" w14:textId="77777777" w:rsidR="00123B2F" w:rsidRDefault="00123B2F">
      <w:pPr>
        <w:spacing w:line="276" w:lineRule="auto"/>
        <w:jc w:val="both"/>
        <w:rPr>
          <w:rFonts w:ascii="Times New Roman" w:eastAsia="Times New Roman" w:hAnsi="Times New Roman" w:cs="Times New Roman"/>
          <w:color w:val="202124"/>
          <w:sz w:val="22"/>
          <w:szCs w:val="22"/>
        </w:rPr>
      </w:pPr>
    </w:p>
    <w:p w14:paraId="18636BF0" w14:textId="77777777" w:rsidR="00123B2F" w:rsidRDefault="003C3CEE">
      <w:pPr>
        <w:spacing w:line="276" w:lineRule="auto"/>
        <w:jc w:val="both"/>
        <w:rPr>
          <w:rFonts w:ascii="Times New Roman" w:eastAsia="Times New Roman" w:hAnsi="Times New Roman" w:cs="Times New Roman"/>
          <w:color w:val="202124"/>
          <w:sz w:val="22"/>
          <w:szCs w:val="22"/>
        </w:rPr>
      </w:pPr>
      <w:r>
        <w:rPr>
          <w:rFonts w:ascii="Times New Roman" w:eastAsia="Times New Roman" w:hAnsi="Times New Roman" w:cs="Times New Roman"/>
          <w:color w:val="202124"/>
          <w:sz w:val="22"/>
          <w:szCs w:val="22"/>
        </w:rPr>
        <w:lastRenderedPageBreak/>
        <w:t>Por su parte, el Acuerdo Distrital 807 de 2021 promueve estrategias integrales de alimentación saludable para desincentivar el consumo de sal y azúcar, con énfasis en bebid</w:t>
      </w:r>
      <w:r>
        <w:rPr>
          <w:rFonts w:ascii="Times New Roman" w:eastAsia="Times New Roman" w:hAnsi="Times New Roman" w:cs="Times New Roman"/>
          <w:color w:val="202124"/>
          <w:sz w:val="22"/>
          <w:szCs w:val="22"/>
        </w:rPr>
        <w:t>as azucaradas, para contribuir a mejorar la calidad de vida y la salud de la población bogotana.</w:t>
      </w:r>
    </w:p>
    <w:p w14:paraId="18636BF1" w14:textId="77777777" w:rsidR="00123B2F" w:rsidRDefault="00123B2F">
      <w:pPr>
        <w:spacing w:line="276" w:lineRule="auto"/>
        <w:jc w:val="both"/>
        <w:rPr>
          <w:rFonts w:ascii="Times New Roman" w:eastAsia="Times New Roman" w:hAnsi="Times New Roman" w:cs="Times New Roman"/>
          <w:color w:val="202124"/>
          <w:sz w:val="22"/>
          <w:szCs w:val="22"/>
        </w:rPr>
      </w:pPr>
    </w:p>
    <w:p w14:paraId="18636BF2" w14:textId="77777777" w:rsidR="00123B2F" w:rsidRDefault="003C3CEE">
      <w:pPr>
        <w:spacing w:line="276" w:lineRule="auto"/>
        <w:jc w:val="both"/>
        <w:rPr>
          <w:rFonts w:ascii="Times New Roman" w:eastAsia="Times New Roman" w:hAnsi="Times New Roman" w:cs="Times New Roman"/>
          <w:color w:val="202124"/>
          <w:sz w:val="22"/>
          <w:szCs w:val="22"/>
        </w:rPr>
      </w:pPr>
      <w:r>
        <w:rPr>
          <w:rFonts w:ascii="Times New Roman" w:eastAsia="Times New Roman" w:hAnsi="Times New Roman" w:cs="Times New Roman"/>
          <w:color w:val="202124"/>
          <w:sz w:val="22"/>
          <w:szCs w:val="22"/>
        </w:rPr>
        <w:t>Además, el Acuerdo Distrital 829 de 2021 establece lineamientos y estrategias de alimentación saludable a través de la constitución de tiendas escolares salud</w:t>
      </w:r>
      <w:r>
        <w:rPr>
          <w:rFonts w:ascii="Times New Roman" w:eastAsia="Times New Roman" w:hAnsi="Times New Roman" w:cs="Times New Roman"/>
          <w:color w:val="202124"/>
          <w:sz w:val="22"/>
          <w:szCs w:val="22"/>
        </w:rPr>
        <w:t>ables en las instituciones educativas oficiales de la ciudad. También estipula la implementación de un plan de disminución progresivo de la oferta de alimentos no saludables en los colegios.</w:t>
      </w:r>
    </w:p>
    <w:p w14:paraId="18636BF3" w14:textId="77777777" w:rsidR="00123B2F" w:rsidRDefault="00123B2F">
      <w:pPr>
        <w:spacing w:line="276" w:lineRule="auto"/>
        <w:jc w:val="both"/>
        <w:rPr>
          <w:rFonts w:ascii="Times New Roman" w:eastAsia="Times New Roman" w:hAnsi="Times New Roman" w:cs="Times New Roman"/>
          <w:color w:val="202124"/>
          <w:sz w:val="22"/>
          <w:szCs w:val="22"/>
        </w:rPr>
      </w:pPr>
    </w:p>
    <w:p w14:paraId="18636BF4" w14:textId="77777777" w:rsidR="00123B2F" w:rsidRDefault="003C3CEE">
      <w:pPr>
        <w:spacing w:line="276" w:lineRule="auto"/>
        <w:jc w:val="center"/>
        <w:rPr>
          <w:rFonts w:ascii="Times New Roman" w:eastAsia="Times New Roman" w:hAnsi="Times New Roman" w:cs="Times New Roman"/>
          <w:b/>
          <w:sz w:val="22"/>
          <w:szCs w:val="22"/>
          <w:highlight w:val="white"/>
        </w:rPr>
      </w:pPr>
      <w:r>
        <w:rPr>
          <w:rFonts w:ascii="Times New Roman" w:eastAsia="Times New Roman" w:hAnsi="Times New Roman" w:cs="Times New Roman"/>
          <w:b/>
          <w:sz w:val="22"/>
          <w:szCs w:val="22"/>
          <w:highlight w:val="white"/>
        </w:rPr>
        <w:t>4. COMPETENCIA</w:t>
      </w:r>
    </w:p>
    <w:p w14:paraId="18636BF5" w14:textId="77777777" w:rsidR="00123B2F" w:rsidRDefault="00123B2F">
      <w:pPr>
        <w:spacing w:line="276" w:lineRule="auto"/>
        <w:jc w:val="center"/>
        <w:rPr>
          <w:rFonts w:ascii="Times New Roman" w:eastAsia="Times New Roman" w:hAnsi="Times New Roman" w:cs="Times New Roman"/>
          <w:b/>
          <w:sz w:val="22"/>
          <w:szCs w:val="22"/>
          <w:highlight w:val="white"/>
        </w:rPr>
      </w:pPr>
    </w:p>
    <w:p w14:paraId="18636BF6"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Concejo de Bogotá D.C. tiene la competencia p</w:t>
      </w:r>
      <w:r>
        <w:rPr>
          <w:rFonts w:ascii="Times New Roman" w:eastAsia="Times New Roman" w:hAnsi="Times New Roman" w:cs="Times New Roman"/>
          <w:sz w:val="22"/>
          <w:szCs w:val="22"/>
        </w:rPr>
        <w:t xml:space="preserve">ara dictar normas relacionadas con la naturaleza y el alcance del presente Proyecto de Acuerdo, según las disposiciones constitucionales y legales vigentes. En primer lugar, el </w:t>
      </w:r>
      <w:r>
        <w:rPr>
          <w:rFonts w:ascii="Times New Roman" w:eastAsia="Times New Roman" w:hAnsi="Times New Roman" w:cs="Times New Roman"/>
          <w:i/>
          <w:sz w:val="22"/>
          <w:szCs w:val="22"/>
        </w:rPr>
        <w:t>artículo 313 de la Constitución Política de Colombia</w:t>
      </w:r>
      <w:r>
        <w:rPr>
          <w:rFonts w:ascii="Times New Roman" w:eastAsia="Times New Roman" w:hAnsi="Times New Roman" w:cs="Times New Roman"/>
          <w:sz w:val="22"/>
          <w:szCs w:val="22"/>
        </w:rPr>
        <w:t xml:space="preserve"> establece que:</w:t>
      </w:r>
    </w:p>
    <w:p w14:paraId="18636BF7" w14:textId="77777777" w:rsidR="00123B2F" w:rsidRDefault="00123B2F">
      <w:pPr>
        <w:jc w:val="both"/>
        <w:rPr>
          <w:rFonts w:ascii="Times New Roman" w:eastAsia="Times New Roman" w:hAnsi="Times New Roman" w:cs="Times New Roman"/>
          <w:sz w:val="22"/>
          <w:szCs w:val="22"/>
        </w:rPr>
      </w:pPr>
    </w:p>
    <w:p w14:paraId="18636BF8" w14:textId="77777777" w:rsidR="00123B2F" w:rsidRDefault="003C3CEE">
      <w:pPr>
        <w:ind w:left="566"/>
        <w:jc w:val="both"/>
        <w:rPr>
          <w:rFonts w:ascii="Times New Roman" w:eastAsia="Times New Roman" w:hAnsi="Times New Roman" w:cs="Times New Roman"/>
          <w:i/>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 xml:space="preserve">ARTÍCULO </w:t>
      </w:r>
      <w:r>
        <w:rPr>
          <w:rFonts w:ascii="Times New Roman" w:eastAsia="Times New Roman" w:hAnsi="Times New Roman" w:cs="Times New Roman"/>
          <w:i/>
          <w:sz w:val="22"/>
          <w:szCs w:val="22"/>
        </w:rPr>
        <w:t>313. Corresponde a los Concejos:</w:t>
      </w:r>
    </w:p>
    <w:p w14:paraId="18636BF9" w14:textId="77777777" w:rsidR="00123B2F" w:rsidRDefault="00123B2F">
      <w:pPr>
        <w:ind w:left="566"/>
        <w:jc w:val="both"/>
        <w:rPr>
          <w:rFonts w:ascii="Times New Roman" w:eastAsia="Times New Roman" w:hAnsi="Times New Roman" w:cs="Times New Roman"/>
          <w:i/>
          <w:sz w:val="22"/>
          <w:szCs w:val="22"/>
        </w:rPr>
      </w:pPr>
    </w:p>
    <w:p w14:paraId="18636BFA" w14:textId="77777777" w:rsidR="00123B2F" w:rsidRDefault="003C3CEE">
      <w:pPr>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1. Reglamentar las funciones y la eficiente prestación de los servicios a cargo del municipio [...]”</w:t>
      </w:r>
      <w:r>
        <w:rPr>
          <w:rFonts w:ascii="Times New Roman" w:eastAsia="Times New Roman" w:hAnsi="Times New Roman" w:cs="Times New Roman"/>
          <w:sz w:val="22"/>
          <w:szCs w:val="22"/>
        </w:rPr>
        <w:t>.</w:t>
      </w:r>
    </w:p>
    <w:p w14:paraId="18636BFB" w14:textId="77777777" w:rsidR="00123B2F" w:rsidRDefault="00123B2F">
      <w:pPr>
        <w:ind w:left="566"/>
        <w:jc w:val="both"/>
        <w:rPr>
          <w:rFonts w:ascii="Times New Roman" w:eastAsia="Times New Roman" w:hAnsi="Times New Roman" w:cs="Times New Roman"/>
          <w:sz w:val="22"/>
          <w:szCs w:val="22"/>
        </w:rPr>
      </w:pPr>
    </w:p>
    <w:p w14:paraId="18636BFC"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 segundo lugar, el </w:t>
      </w:r>
      <w:r>
        <w:rPr>
          <w:rFonts w:ascii="Times New Roman" w:eastAsia="Times New Roman" w:hAnsi="Times New Roman" w:cs="Times New Roman"/>
          <w:i/>
          <w:sz w:val="22"/>
          <w:szCs w:val="22"/>
        </w:rPr>
        <w:t>artículo 12 del Decreto Ley 1421 de 1993 - Estatuto Orgánico de Bogotá -</w:t>
      </w:r>
      <w:r>
        <w:rPr>
          <w:rFonts w:ascii="Times New Roman" w:eastAsia="Times New Roman" w:hAnsi="Times New Roman" w:cs="Times New Roman"/>
          <w:sz w:val="22"/>
          <w:szCs w:val="22"/>
        </w:rPr>
        <w:t xml:space="preserve"> estipula que:</w:t>
      </w:r>
    </w:p>
    <w:p w14:paraId="18636BFD" w14:textId="77777777" w:rsidR="00123B2F" w:rsidRDefault="00123B2F">
      <w:pPr>
        <w:jc w:val="both"/>
        <w:rPr>
          <w:rFonts w:ascii="Times New Roman" w:eastAsia="Times New Roman" w:hAnsi="Times New Roman" w:cs="Times New Roman"/>
          <w:sz w:val="22"/>
          <w:szCs w:val="22"/>
        </w:rPr>
      </w:pPr>
    </w:p>
    <w:p w14:paraId="18636BFE" w14:textId="77777777" w:rsidR="00123B2F" w:rsidRDefault="003C3CEE">
      <w:pPr>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 xml:space="preserve">“ARTÍCULO </w:t>
      </w:r>
      <w:r>
        <w:rPr>
          <w:rFonts w:ascii="Times New Roman" w:eastAsia="Times New Roman" w:hAnsi="Times New Roman" w:cs="Times New Roman"/>
          <w:i/>
          <w:sz w:val="22"/>
          <w:szCs w:val="22"/>
        </w:rPr>
        <w:t>12. Atribuciones. Corresponde al Concejo Distrital, de conformidad con la Constitución y a la ley:</w:t>
      </w:r>
    </w:p>
    <w:p w14:paraId="18636BFF" w14:textId="77777777" w:rsidR="00123B2F" w:rsidRDefault="00123B2F">
      <w:pPr>
        <w:ind w:left="566"/>
        <w:jc w:val="both"/>
        <w:rPr>
          <w:rFonts w:ascii="Times New Roman" w:eastAsia="Times New Roman" w:hAnsi="Times New Roman" w:cs="Times New Roman"/>
          <w:i/>
          <w:sz w:val="22"/>
          <w:szCs w:val="22"/>
        </w:rPr>
      </w:pPr>
    </w:p>
    <w:p w14:paraId="18636C00" w14:textId="77777777" w:rsidR="00123B2F" w:rsidRDefault="003C3CEE">
      <w:pPr>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1. Dictar las normas necesarias para garantizar el adecuado cumplimiento de las funciones y la eficiente prestación de los servicios a cargo del Distrito [...]”.</w:t>
      </w:r>
    </w:p>
    <w:p w14:paraId="18636C01" w14:textId="77777777" w:rsidR="00123B2F" w:rsidRDefault="00123B2F">
      <w:pPr>
        <w:jc w:val="both"/>
        <w:rPr>
          <w:rFonts w:ascii="Times New Roman" w:eastAsia="Times New Roman" w:hAnsi="Times New Roman" w:cs="Times New Roman"/>
          <w:i/>
          <w:sz w:val="22"/>
          <w:szCs w:val="22"/>
        </w:rPr>
      </w:pPr>
    </w:p>
    <w:p w14:paraId="18636C02" w14:textId="77777777" w:rsidR="00123B2F" w:rsidRDefault="00123B2F">
      <w:pPr>
        <w:spacing w:line="276" w:lineRule="auto"/>
        <w:rPr>
          <w:rFonts w:ascii="Times New Roman" w:eastAsia="Times New Roman" w:hAnsi="Times New Roman" w:cs="Times New Roman"/>
          <w:b/>
          <w:sz w:val="22"/>
          <w:szCs w:val="22"/>
        </w:rPr>
      </w:pPr>
    </w:p>
    <w:p w14:paraId="18636C03" w14:textId="77777777" w:rsidR="00123B2F" w:rsidRDefault="003C3CEE">
      <w:pPr>
        <w:spacing w:line="276" w:lineRule="auto"/>
        <w:jc w:val="center"/>
        <w:rPr>
          <w:rFonts w:ascii="Times New Roman" w:eastAsia="Times New Roman" w:hAnsi="Times New Roman" w:cs="Times New Roman"/>
          <w:b/>
          <w:color w:val="00B050"/>
          <w:sz w:val="22"/>
          <w:szCs w:val="22"/>
        </w:rPr>
      </w:pPr>
      <w:r>
        <w:rPr>
          <w:rFonts w:ascii="Times New Roman" w:eastAsia="Times New Roman" w:hAnsi="Times New Roman" w:cs="Times New Roman"/>
          <w:b/>
          <w:sz w:val="22"/>
          <w:szCs w:val="22"/>
        </w:rPr>
        <w:t>5. IMPACTO FISCAL</w:t>
      </w:r>
    </w:p>
    <w:p w14:paraId="18636C04" w14:textId="77777777" w:rsidR="00123B2F" w:rsidRDefault="00123B2F">
      <w:pPr>
        <w:jc w:val="both"/>
        <w:rPr>
          <w:rFonts w:ascii="Times New Roman" w:eastAsia="Times New Roman" w:hAnsi="Times New Roman" w:cs="Times New Roman"/>
          <w:sz w:val="22"/>
          <w:szCs w:val="22"/>
        </w:rPr>
      </w:pPr>
    </w:p>
    <w:p w14:paraId="18636C05"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Ley 819 de 2003 “</w:t>
      </w:r>
      <w:r>
        <w:rPr>
          <w:rFonts w:ascii="Times New Roman" w:eastAsia="Times New Roman" w:hAnsi="Times New Roman" w:cs="Times New Roman"/>
          <w:i/>
          <w:sz w:val="22"/>
          <w:szCs w:val="22"/>
        </w:rPr>
        <w:t>Por la cual se dictan normas orgánicas en materia de presupuesto, responsabilidad y transparencia fiscal y se dictan otras disposiciones</w:t>
      </w:r>
      <w:r>
        <w:rPr>
          <w:rFonts w:ascii="Times New Roman" w:eastAsia="Times New Roman" w:hAnsi="Times New Roman" w:cs="Times New Roman"/>
          <w:sz w:val="22"/>
          <w:szCs w:val="22"/>
        </w:rPr>
        <w:t xml:space="preserve">” en su artículo 7 establece: </w:t>
      </w:r>
    </w:p>
    <w:p w14:paraId="18636C06" w14:textId="77777777" w:rsidR="00123B2F" w:rsidRDefault="00123B2F">
      <w:pPr>
        <w:jc w:val="both"/>
        <w:rPr>
          <w:rFonts w:ascii="Times New Roman" w:eastAsia="Times New Roman" w:hAnsi="Times New Roman" w:cs="Times New Roman"/>
          <w:sz w:val="22"/>
          <w:szCs w:val="22"/>
        </w:rPr>
      </w:pPr>
    </w:p>
    <w:p w14:paraId="18636C07" w14:textId="77777777" w:rsidR="00123B2F" w:rsidRDefault="003C3CEE">
      <w:pPr>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"Artículo 7º. Análisis del impacto fiscal de las normas. En todo momento, el impacto fis</w:t>
      </w:r>
      <w:r>
        <w:rPr>
          <w:rFonts w:ascii="Times New Roman" w:eastAsia="Times New Roman" w:hAnsi="Times New Roman" w:cs="Times New Roman"/>
          <w:i/>
          <w:sz w:val="22"/>
          <w:szCs w:val="22"/>
        </w:rPr>
        <w:t>cal de cualquier proyecto de ley, ordenanza o acuerdo, que ordene gasto o que otorgue beneficios tributarios, deberá hacerse explícito y deberá ser compatible con el Marco Fiscal de Mediano Plazo.</w:t>
      </w:r>
    </w:p>
    <w:p w14:paraId="18636C08" w14:textId="77777777" w:rsidR="00123B2F" w:rsidRDefault="00123B2F">
      <w:pPr>
        <w:ind w:left="566"/>
        <w:jc w:val="both"/>
        <w:rPr>
          <w:rFonts w:ascii="Times New Roman" w:eastAsia="Times New Roman" w:hAnsi="Times New Roman" w:cs="Times New Roman"/>
          <w:i/>
          <w:sz w:val="22"/>
          <w:szCs w:val="22"/>
        </w:rPr>
      </w:pPr>
    </w:p>
    <w:p w14:paraId="18636C09" w14:textId="77777777" w:rsidR="00123B2F" w:rsidRDefault="003C3CEE">
      <w:pPr>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Para estos propósitos, deberá incluirse expresamente en la</w:t>
      </w:r>
      <w:r>
        <w:rPr>
          <w:rFonts w:ascii="Times New Roman" w:eastAsia="Times New Roman" w:hAnsi="Times New Roman" w:cs="Times New Roman"/>
          <w:i/>
          <w:sz w:val="22"/>
          <w:szCs w:val="22"/>
        </w:rPr>
        <w:t xml:space="preserve"> exposición de motivos y en las ponencias de trámite respectivas los costos fiscales de la iniciativa y la fuente de ingreso adicional generada para el financiamiento de dicho costo”.</w:t>
      </w:r>
    </w:p>
    <w:p w14:paraId="18636C0A" w14:textId="77777777" w:rsidR="00123B2F" w:rsidRDefault="00123B2F">
      <w:pPr>
        <w:ind w:left="566"/>
        <w:jc w:val="both"/>
        <w:rPr>
          <w:rFonts w:ascii="Times New Roman" w:eastAsia="Times New Roman" w:hAnsi="Times New Roman" w:cs="Times New Roman"/>
          <w:i/>
          <w:sz w:val="22"/>
          <w:szCs w:val="22"/>
        </w:rPr>
      </w:pPr>
    </w:p>
    <w:p w14:paraId="18636C0B"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Teniendo en cuenta lo anterior, es importante resaltar que, la Política</w:t>
      </w:r>
      <w:r>
        <w:rPr>
          <w:rFonts w:ascii="Times New Roman" w:eastAsia="Times New Roman" w:hAnsi="Times New Roman" w:cs="Times New Roman"/>
          <w:sz w:val="22"/>
          <w:szCs w:val="22"/>
        </w:rPr>
        <w:t xml:space="preserve"> Pública de Seguridad Alimentaria y Nutricional para Bogotá: Construyendo Ciudadanía Alimentaria 2019 - 2031 tiene como objetivos específicos fines que se buscan alcanzar con este Proyecto de Acuerdo: (i) incidir progresivamente en las situaciones de inequ</w:t>
      </w:r>
      <w:r>
        <w:rPr>
          <w:rFonts w:ascii="Times New Roman" w:eastAsia="Times New Roman" w:hAnsi="Times New Roman" w:cs="Times New Roman"/>
          <w:sz w:val="22"/>
          <w:szCs w:val="22"/>
        </w:rPr>
        <w:t>idad económica y social que afectan la seguridad y la soberanía alimentaria y nutricional de los habitantes de Bogotá D.C; (ii) consolidar el Sistema de Abastecimiento y Distribución de Alimentos Saludables (SADA); y (iii) incentivar el consumo responsable</w:t>
      </w:r>
      <w:r>
        <w:rPr>
          <w:rFonts w:ascii="Times New Roman" w:eastAsia="Times New Roman" w:hAnsi="Times New Roman" w:cs="Times New Roman"/>
          <w:sz w:val="22"/>
          <w:szCs w:val="22"/>
        </w:rPr>
        <w:t xml:space="preserve"> de alimentos saludables, así como de prácticas de alimentación, nutrición y actividad física adecuadas para los diferentes momentos y entornos del curso de vida de los habitantes del Distrito Capital</w:t>
      </w:r>
      <w:r>
        <w:rPr>
          <w:rFonts w:ascii="Times New Roman" w:eastAsia="Times New Roman" w:hAnsi="Times New Roman" w:cs="Times New Roman"/>
          <w:sz w:val="22"/>
          <w:szCs w:val="22"/>
          <w:vertAlign w:val="superscript"/>
        </w:rPr>
        <w:footnoteReference w:id="50"/>
      </w:r>
      <w:r>
        <w:rPr>
          <w:rFonts w:ascii="Times New Roman" w:eastAsia="Times New Roman" w:hAnsi="Times New Roman" w:cs="Times New Roman"/>
          <w:sz w:val="22"/>
          <w:szCs w:val="22"/>
        </w:rPr>
        <w:t>.</w:t>
      </w:r>
    </w:p>
    <w:p w14:paraId="18636C0C" w14:textId="77777777" w:rsidR="00123B2F" w:rsidRDefault="00123B2F">
      <w:pPr>
        <w:jc w:val="both"/>
        <w:rPr>
          <w:rFonts w:ascii="Times New Roman" w:eastAsia="Times New Roman" w:hAnsi="Times New Roman" w:cs="Times New Roman"/>
          <w:sz w:val="22"/>
          <w:szCs w:val="22"/>
        </w:rPr>
      </w:pPr>
    </w:p>
    <w:p w14:paraId="18636C0D"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consecuencia, al estar alineada con la Política P</w:t>
      </w:r>
      <w:r>
        <w:rPr>
          <w:rFonts w:ascii="Times New Roman" w:eastAsia="Times New Roman" w:hAnsi="Times New Roman" w:cs="Times New Roman"/>
          <w:sz w:val="22"/>
          <w:szCs w:val="22"/>
        </w:rPr>
        <w:t xml:space="preserve">ública Distrital Alimentaria y Nutricional, esta iniciativa </w:t>
      </w:r>
      <w:r>
        <w:rPr>
          <w:rFonts w:ascii="Times New Roman" w:eastAsia="Times New Roman" w:hAnsi="Times New Roman" w:cs="Times New Roman"/>
          <w:b/>
          <w:sz w:val="22"/>
          <w:szCs w:val="22"/>
        </w:rPr>
        <w:t>no tendría un impacto fiscal</w:t>
      </w:r>
      <w:r>
        <w:rPr>
          <w:rFonts w:ascii="Times New Roman" w:eastAsia="Times New Roman" w:hAnsi="Times New Roman" w:cs="Times New Roman"/>
          <w:sz w:val="22"/>
          <w:szCs w:val="22"/>
        </w:rPr>
        <w:t xml:space="preserve"> por cuanto no implica la apropiación de recursos adicionales a los sectores y entidades responsables de su implementación.</w:t>
      </w:r>
    </w:p>
    <w:p w14:paraId="18636C0E" w14:textId="77777777" w:rsidR="00123B2F" w:rsidRDefault="00123B2F">
      <w:pPr>
        <w:jc w:val="both"/>
        <w:rPr>
          <w:rFonts w:ascii="Times New Roman" w:eastAsia="Times New Roman" w:hAnsi="Times New Roman" w:cs="Times New Roman"/>
          <w:sz w:val="22"/>
          <w:szCs w:val="22"/>
        </w:rPr>
      </w:pPr>
    </w:p>
    <w:p w14:paraId="18636C0F" w14:textId="77777777" w:rsidR="00123B2F" w:rsidRDefault="00123B2F">
      <w:pPr>
        <w:jc w:val="both"/>
        <w:rPr>
          <w:rFonts w:ascii="Times New Roman" w:eastAsia="Times New Roman" w:hAnsi="Times New Roman" w:cs="Times New Roman"/>
          <w:b/>
          <w:sz w:val="22"/>
          <w:szCs w:val="22"/>
        </w:rPr>
      </w:pPr>
    </w:p>
    <w:p w14:paraId="18636C10" w14:textId="77777777" w:rsidR="00123B2F" w:rsidRDefault="003C3CEE">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6. RELACIÓN DE LA INICIATIVA CON LOS OBJET</w:t>
      </w:r>
      <w:r>
        <w:rPr>
          <w:rFonts w:ascii="Times New Roman" w:eastAsia="Times New Roman" w:hAnsi="Times New Roman" w:cs="Times New Roman"/>
          <w:b/>
          <w:sz w:val="22"/>
          <w:szCs w:val="22"/>
        </w:rPr>
        <w:t>IVOS DE DESARROLLO SOSTENIBLE</w:t>
      </w:r>
    </w:p>
    <w:p w14:paraId="18636C11" w14:textId="77777777" w:rsidR="00123B2F" w:rsidRDefault="00123B2F">
      <w:pPr>
        <w:jc w:val="center"/>
        <w:rPr>
          <w:rFonts w:ascii="Times New Roman" w:eastAsia="Times New Roman" w:hAnsi="Times New Roman" w:cs="Times New Roman"/>
          <w:b/>
          <w:sz w:val="22"/>
          <w:szCs w:val="22"/>
        </w:rPr>
      </w:pPr>
    </w:p>
    <w:p w14:paraId="18636C12" w14:textId="77777777" w:rsidR="00123B2F" w:rsidRDefault="00123B2F">
      <w:pPr>
        <w:jc w:val="center"/>
        <w:rPr>
          <w:rFonts w:ascii="Times New Roman" w:eastAsia="Times New Roman" w:hAnsi="Times New Roman" w:cs="Times New Roman"/>
          <w:b/>
          <w:sz w:val="22"/>
          <w:szCs w:val="22"/>
        </w:rPr>
      </w:pPr>
    </w:p>
    <w:p w14:paraId="18636C13"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Esta iniciativa contribuye a la consecución en el año 2030 de los Objetivos de Desarrollo Sostenible (ODS). En particular, el ODS 2 “</w:t>
      </w:r>
      <w:r>
        <w:rPr>
          <w:rFonts w:ascii="Times New Roman" w:eastAsia="Times New Roman" w:hAnsi="Times New Roman" w:cs="Times New Roman"/>
          <w:i/>
          <w:sz w:val="22"/>
          <w:szCs w:val="22"/>
        </w:rPr>
        <w:t>Poner fin al hambre</w:t>
      </w:r>
      <w:r>
        <w:rPr>
          <w:rFonts w:ascii="Times New Roman" w:eastAsia="Times New Roman" w:hAnsi="Times New Roman" w:cs="Times New Roman"/>
          <w:sz w:val="22"/>
          <w:szCs w:val="22"/>
        </w:rPr>
        <w:t>”, el ODS 3 “</w:t>
      </w:r>
      <w:r>
        <w:rPr>
          <w:rFonts w:ascii="Times New Roman" w:eastAsia="Times New Roman" w:hAnsi="Times New Roman" w:cs="Times New Roman"/>
          <w:i/>
          <w:sz w:val="22"/>
          <w:szCs w:val="22"/>
        </w:rPr>
        <w:t>Garantizar una vida sana y promover el bienestar en todas l</w:t>
      </w:r>
      <w:r>
        <w:rPr>
          <w:rFonts w:ascii="Times New Roman" w:eastAsia="Times New Roman" w:hAnsi="Times New Roman" w:cs="Times New Roman"/>
          <w:i/>
          <w:sz w:val="22"/>
          <w:szCs w:val="22"/>
        </w:rPr>
        <w:t>as edades</w:t>
      </w:r>
      <w:r>
        <w:rPr>
          <w:rFonts w:ascii="Times New Roman" w:eastAsia="Times New Roman" w:hAnsi="Times New Roman" w:cs="Times New Roman"/>
          <w:sz w:val="22"/>
          <w:szCs w:val="22"/>
        </w:rPr>
        <w:t>” y el ODS 8 “</w:t>
      </w:r>
      <w:r>
        <w:rPr>
          <w:rFonts w:ascii="Times New Roman" w:eastAsia="Times New Roman" w:hAnsi="Times New Roman" w:cs="Times New Roman"/>
          <w:i/>
          <w:sz w:val="22"/>
          <w:szCs w:val="22"/>
        </w:rPr>
        <w:t>Promover el crecimiento económico inclusivo y sostenible, el empleo y el trabajo</w:t>
      </w:r>
      <w:r>
        <w:rPr>
          <w:rFonts w:ascii="Times New Roman" w:eastAsia="Times New Roman" w:hAnsi="Times New Roman" w:cs="Times New Roman"/>
          <w:sz w:val="22"/>
          <w:szCs w:val="22"/>
        </w:rPr>
        <w:t>”.</w:t>
      </w:r>
    </w:p>
    <w:p w14:paraId="18636C14" w14:textId="77777777" w:rsidR="00123B2F" w:rsidRDefault="00123B2F">
      <w:pPr>
        <w:jc w:val="both"/>
        <w:rPr>
          <w:rFonts w:ascii="Times New Roman" w:eastAsia="Times New Roman" w:hAnsi="Times New Roman" w:cs="Times New Roman"/>
          <w:sz w:val="22"/>
          <w:szCs w:val="22"/>
        </w:rPr>
      </w:pPr>
    </w:p>
    <w:p w14:paraId="18636C15" w14:textId="77777777" w:rsidR="00123B2F" w:rsidRDefault="00123B2F">
      <w:pPr>
        <w:jc w:val="both"/>
        <w:rPr>
          <w:rFonts w:ascii="Times New Roman" w:eastAsia="Times New Roman" w:hAnsi="Times New Roman" w:cs="Times New Roman"/>
          <w:sz w:val="22"/>
          <w:szCs w:val="22"/>
        </w:rPr>
      </w:pPr>
    </w:p>
    <w:tbl>
      <w:tblPr>
        <w:tblStyle w:val="a"/>
        <w:tblW w:w="879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280"/>
        <w:gridCol w:w="6510"/>
      </w:tblGrid>
      <w:tr w:rsidR="00123B2F" w14:paraId="18636C1A" w14:textId="77777777">
        <w:tc>
          <w:tcPr>
            <w:tcW w:w="2280"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18636C16" w14:textId="77777777" w:rsidR="00123B2F" w:rsidRDefault="003C3CEE">
            <w:pPr>
              <w:widowControl w:val="0"/>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lastRenderedPageBreak/>
              <w:drawing>
                <wp:inline distT="114300" distB="114300" distL="114300" distR="114300" wp14:anchorId="18636CAF" wp14:editId="18636CB0">
                  <wp:extent cx="1262784" cy="1262784"/>
                  <wp:effectExtent l="0" t="0" r="0" b="0"/>
                  <wp:docPr id="10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3"/>
                          <a:srcRect/>
                          <a:stretch>
                            <a:fillRect/>
                          </a:stretch>
                        </pic:blipFill>
                        <pic:spPr>
                          <a:xfrm>
                            <a:off x="0" y="0"/>
                            <a:ext cx="1262784" cy="1262784"/>
                          </a:xfrm>
                          <a:prstGeom prst="rect">
                            <a:avLst/>
                          </a:prstGeom>
                          <a:ln/>
                        </pic:spPr>
                      </pic:pic>
                    </a:graphicData>
                  </a:graphic>
                </wp:inline>
              </w:drawing>
            </w:r>
          </w:p>
        </w:tc>
        <w:tc>
          <w:tcPr>
            <w:tcW w:w="6510"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18636C17" w14:textId="77777777" w:rsidR="00123B2F" w:rsidRDefault="003C3CEE">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primer lugar, con este Proyecto de Acuerdo que apoya y fortalece la industria que produce uno de los productos más importantes de la canasta familiar de la ciudadanía bogotana se contribuye a la reducción del hambre en la ciudad. Adicionalmente, con las</w:t>
            </w:r>
            <w:r>
              <w:rPr>
                <w:rFonts w:ascii="Times New Roman" w:eastAsia="Times New Roman" w:hAnsi="Times New Roman" w:cs="Times New Roman"/>
                <w:sz w:val="22"/>
                <w:szCs w:val="22"/>
              </w:rPr>
              <w:t xml:space="preserve"> disposiciones normativas referentes a mejorar y potenciar el valor nutricional del pan y los productos de panificación se aporta en el propósito de conseguir una alimentación sana, nutritiva y suficiente, así como combatir la desnutrición.</w:t>
            </w:r>
          </w:p>
          <w:p w14:paraId="18636C18" w14:textId="77777777" w:rsidR="00123B2F" w:rsidRDefault="00123B2F">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p>
          <w:p w14:paraId="18636C19" w14:textId="77777777" w:rsidR="00123B2F" w:rsidRDefault="00123B2F">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p>
        </w:tc>
      </w:tr>
      <w:tr w:rsidR="00123B2F" w14:paraId="18636C20" w14:textId="77777777">
        <w:tc>
          <w:tcPr>
            <w:tcW w:w="2280"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18636C1B" w14:textId="77777777" w:rsidR="00123B2F" w:rsidRDefault="003C3CEE">
            <w:pPr>
              <w:widowControl w:val="0"/>
              <w:pBdr>
                <w:top w:val="none" w:sz="0" w:space="0" w:color="000000"/>
                <w:left w:val="none" w:sz="0" w:space="0" w:color="000000"/>
                <w:bottom w:val="none" w:sz="0" w:space="0" w:color="000000"/>
                <w:right w:val="none" w:sz="0" w:space="0" w:color="000000"/>
                <w:between w:val="none" w:sz="0" w:space="0" w:color="000000"/>
              </w:pBdr>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drawing>
                <wp:inline distT="114300" distB="114300" distL="114300" distR="114300" wp14:anchorId="18636CB1" wp14:editId="18636CB2">
                  <wp:extent cx="1110384" cy="1110384"/>
                  <wp:effectExtent l="0" t="0" r="0" b="0"/>
                  <wp:docPr id="11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a:stretch>
                            <a:fillRect/>
                          </a:stretch>
                        </pic:blipFill>
                        <pic:spPr>
                          <a:xfrm>
                            <a:off x="0" y="0"/>
                            <a:ext cx="1110384" cy="1110384"/>
                          </a:xfrm>
                          <a:prstGeom prst="rect">
                            <a:avLst/>
                          </a:prstGeom>
                          <a:ln/>
                        </pic:spPr>
                      </pic:pic>
                    </a:graphicData>
                  </a:graphic>
                </wp:inline>
              </w:drawing>
            </w:r>
          </w:p>
        </w:tc>
        <w:tc>
          <w:tcPr>
            <w:tcW w:w="6510"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18636C1C" w14:textId="77777777" w:rsidR="00123B2F" w:rsidRDefault="00123B2F">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p>
          <w:p w14:paraId="18636C1D" w14:textId="77777777" w:rsidR="00123B2F" w:rsidRDefault="003C3CEE">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segund</w:t>
            </w:r>
            <w:r>
              <w:rPr>
                <w:rFonts w:ascii="Times New Roman" w:eastAsia="Times New Roman" w:hAnsi="Times New Roman" w:cs="Times New Roman"/>
                <w:sz w:val="22"/>
                <w:szCs w:val="22"/>
              </w:rPr>
              <w:t>o lugar, con esta iniciativa también se le apunta a mejorar el uso de ingredientes, recetas y métodos de producción en pan y los productos de panificación para aumentar su valor nutricional a través de formación y acompañamiento institucional. De esta form</w:t>
            </w:r>
            <w:r>
              <w:rPr>
                <w:rFonts w:ascii="Times New Roman" w:eastAsia="Times New Roman" w:hAnsi="Times New Roman" w:cs="Times New Roman"/>
                <w:sz w:val="22"/>
                <w:szCs w:val="22"/>
              </w:rPr>
              <w:t>a, se aporta en la garantía de una vida sana en la población de la ciudad, sin distinción.</w:t>
            </w:r>
          </w:p>
          <w:p w14:paraId="18636C1E" w14:textId="77777777" w:rsidR="00123B2F" w:rsidRDefault="00123B2F">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p>
          <w:p w14:paraId="18636C1F" w14:textId="77777777" w:rsidR="00123B2F" w:rsidRDefault="00123B2F">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p>
        </w:tc>
      </w:tr>
      <w:tr w:rsidR="00123B2F" w14:paraId="18636C26" w14:textId="77777777">
        <w:tc>
          <w:tcPr>
            <w:tcW w:w="2280"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18636C21" w14:textId="77777777" w:rsidR="00123B2F" w:rsidRDefault="003C3CEE">
            <w:pPr>
              <w:widowControl w:val="0"/>
              <w:pBdr>
                <w:top w:val="none" w:sz="0" w:space="0" w:color="000000"/>
                <w:left w:val="none" w:sz="0" w:space="0" w:color="000000"/>
                <w:bottom w:val="none" w:sz="0" w:space="0" w:color="000000"/>
                <w:right w:val="none" w:sz="0" w:space="0" w:color="000000"/>
                <w:between w:val="none" w:sz="0" w:space="0" w:color="000000"/>
              </w:pBdr>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drawing>
                <wp:inline distT="114300" distB="114300" distL="114300" distR="114300" wp14:anchorId="18636CB3" wp14:editId="18636CB4">
                  <wp:extent cx="1118266" cy="1118266"/>
                  <wp:effectExtent l="0" t="0" r="0" b="0"/>
                  <wp:docPr id="11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1118266" cy="1118266"/>
                          </a:xfrm>
                          <a:prstGeom prst="rect">
                            <a:avLst/>
                          </a:prstGeom>
                          <a:ln/>
                        </pic:spPr>
                      </pic:pic>
                    </a:graphicData>
                  </a:graphic>
                </wp:inline>
              </w:drawing>
            </w:r>
          </w:p>
        </w:tc>
        <w:tc>
          <w:tcPr>
            <w:tcW w:w="6510"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14:paraId="18636C22" w14:textId="77777777" w:rsidR="00123B2F" w:rsidRDefault="00123B2F">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p>
          <w:p w14:paraId="18636C23" w14:textId="77777777" w:rsidR="00123B2F" w:rsidRDefault="003C3CEE">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 tercer lugar, al buscar apoyar y fortalecer a la industria panificadora de la ciudad mediante diferentes estrategias, con esta iniciativa se contribuye al crecimiento económico y la productividad de Bogotá, pues las empresas molineras, las panaderías y </w:t>
            </w:r>
            <w:r>
              <w:rPr>
                <w:rFonts w:ascii="Times New Roman" w:eastAsia="Times New Roman" w:hAnsi="Times New Roman" w:cs="Times New Roman"/>
                <w:sz w:val="22"/>
                <w:szCs w:val="22"/>
              </w:rPr>
              <w:t xml:space="preserve">demás actores de la cadena productiva del pan generan miles de empleos directos e indirectos, dinamizan el mercado y consumo capitalino. </w:t>
            </w:r>
          </w:p>
          <w:p w14:paraId="18636C24" w14:textId="77777777" w:rsidR="00123B2F" w:rsidRDefault="00123B2F">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p>
          <w:p w14:paraId="18636C25" w14:textId="77777777" w:rsidR="00123B2F" w:rsidRDefault="00123B2F">
            <w:pPr>
              <w:widowControl w:val="0"/>
              <w:pBdr>
                <w:top w:val="none" w:sz="0" w:space="0" w:color="000000"/>
                <w:left w:val="none" w:sz="0" w:space="0" w:color="000000"/>
                <w:bottom w:val="none" w:sz="0" w:space="0" w:color="000000"/>
                <w:right w:val="none" w:sz="0" w:space="0" w:color="000000"/>
                <w:between w:val="none" w:sz="0" w:space="0" w:color="000000"/>
              </w:pBdr>
              <w:jc w:val="both"/>
              <w:rPr>
                <w:rFonts w:ascii="Times New Roman" w:eastAsia="Times New Roman" w:hAnsi="Times New Roman" w:cs="Times New Roman"/>
                <w:sz w:val="22"/>
                <w:szCs w:val="22"/>
              </w:rPr>
            </w:pPr>
          </w:p>
        </w:tc>
      </w:tr>
    </w:tbl>
    <w:p w14:paraId="18636C27" w14:textId="77777777" w:rsidR="00123B2F" w:rsidRDefault="00123B2F">
      <w:pPr>
        <w:jc w:val="center"/>
        <w:rPr>
          <w:rFonts w:ascii="Times New Roman" w:eastAsia="Times New Roman" w:hAnsi="Times New Roman" w:cs="Times New Roman"/>
          <w:b/>
          <w:sz w:val="22"/>
          <w:szCs w:val="22"/>
        </w:rPr>
      </w:pPr>
    </w:p>
    <w:p w14:paraId="18636C28" w14:textId="77777777" w:rsidR="00123B2F" w:rsidRDefault="003C3CEE">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7. RELACIÓN DE LA INICIATIVA CON EL PLAN NACIONAL DE DESARROLLO</w:t>
      </w:r>
    </w:p>
    <w:p w14:paraId="18636C29" w14:textId="77777777" w:rsidR="00123B2F" w:rsidRDefault="00123B2F">
      <w:pPr>
        <w:jc w:val="center"/>
        <w:rPr>
          <w:rFonts w:ascii="Times New Roman" w:eastAsia="Times New Roman" w:hAnsi="Times New Roman" w:cs="Times New Roman"/>
          <w:b/>
          <w:sz w:val="22"/>
          <w:szCs w:val="22"/>
        </w:rPr>
      </w:pPr>
    </w:p>
    <w:p w14:paraId="18636C2A"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Uno de los ejes del Plan Nacional de Desarrollo del Gobierno Nacional actual, aprobado mediante la Ley 2294 de 2023</w:t>
      </w:r>
      <w:r>
        <w:rPr>
          <w:rFonts w:ascii="Times New Roman" w:eastAsia="Times New Roman" w:hAnsi="Times New Roman" w:cs="Times New Roman"/>
          <w:sz w:val="22"/>
          <w:szCs w:val="22"/>
          <w:vertAlign w:val="superscript"/>
        </w:rPr>
        <w:footnoteReference w:id="51"/>
      </w:r>
      <w:r>
        <w:rPr>
          <w:rFonts w:ascii="Times New Roman" w:eastAsia="Times New Roman" w:hAnsi="Times New Roman" w:cs="Times New Roman"/>
          <w:sz w:val="22"/>
          <w:szCs w:val="22"/>
        </w:rPr>
        <w:t>, es el “</w:t>
      </w:r>
      <w:r>
        <w:rPr>
          <w:rFonts w:ascii="Times New Roman" w:eastAsia="Times New Roman" w:hAnsi="Times New Roman" w:cs="Times New Roman"/>
          <w:i/>
          <w:sz w:val="22"/>
          <w:szCs w:val="22"/>
        </w:rPr>
        <w:t xml:space="preserve">Derecho humano a la alimentación”, </w:t>
      </w:r>
      <w:r>
        <w:rPr>
          <w:rFonts w:ascii="Times New Roman" w:eastAsia="Times New Roman" w:hAnsi="Times New Roman" w:cs="Times New Roman"/>
          <w:sz w:val="22"/>
          <w:szCs w:val="22"/>
        </w:rPr>
        <w:t xml:space="preserve">en el marco del cual se estipulan </w:t>
      </w:r>
      <w:r>
        <w:rPr>
          <w:rFonts w:ascii="Times New Roman" w:eastAsia="Times New Roman" w:hAnsi="Times New Roman" w:cs="Times New Roman"/>
          <w:sz w:val="22"/>
          <w:szCs w:val="22"/>
        </w:rPr>
        <w:lastRenderedPageBreak/>
        <w:t>estrategias como: (i) la creación de la transferencia y el pro</w:t>
      </w:r>
      <w:r>
        <w:rPr>
          <w:rFonts w:ascii="Times New Roman" w:eastAsia="Times New Roman" w:hAnsi="Times New Roman" w:cs="Times New Roman"/>
          <w:sz w:val="22"/>
          <w:szCs w:val="22"/>
        </w:rPr>
        <w:t>grama “Hambre Cero”; (ii) la creación del Sistema Nacional de Seguimiento y Monitoreo para la Superación de la Malnutrición; (iii) la creación del Sistema Nacional para la Garantía Progresiva del Derecho a la Alimentación; (iv) la formulación de la polític</w:t>
      </w:r>
      <w:r>
        <w:rPr>
          <w:rFonts w:ascii="Times New Roman" w:eastAsia="Times New Roman" w:hAnsi="Times New Roman" w:cs="Times New Roman"/>
          <w:sz w:val="22"/>
          <w:szCs w:val="22"/>
        </w:rPr>
        <w:t>a pública para la garantía progresiva del derecho humano a la alimentación adecuada y de lucha contra el hambre; y (v) la constitución del Observatorio del Derecho a la Alimentación y Nutrición (ODAN).</w:t>
      </w:r>
    </w:p>
    <w:p w14:paraId="18636C2B"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este sentido, al contribuir en la lucha contra el h</w:t>
      </w:r>
      <w:r>
        <w:rPr>
          <w:rFonts w:ascii="Times New Roman" w:eastAsia="Times New Roman" w:hAnsi="Times New Roman" w:cs="Times New Roman"/>
          <w:sz w:val="22"/>
          <w:szCs w:val="22"/>
        </w:rPr>
        <w:t>ambre y la desnutrición en la ciudad a través del apoyo a la cadena productiva del pan, esta iniciativa está en línea con los planes, programas, proyectos y/o estrategias que durante este cuatrienio el Gobierno Nacional implementará. Lo anterior, permitirá</w:t>
      </w:r>
      <w:r>
        <w:rPr>
          <w:rFonts w:ascii="Times New Roman" w:eastAsia="Times New Roman" w:hAnsi="Times New Roman" w:cs="Times New Roman"/>
          <w:sz w:val="22"/>
          <w:szCs w:val="22"/>
        </w:rPr>
        <w:t xml:space="preserve"> que para su financiación y ejecución se pueda lograr la articulación entre el orden distrital y el nacional.</w:t>
      </w:r>
    </w:p>
    <w:p w14:paraId="18636C2C" w14:textId="77777777" w:rsidR="00123B2F" w:rsidRDefault="00123B2F">
      <w:pPr>
        <w:jc w:val="both"/>
        <w:rPr>
          <w:rFonts w:ascii="Times New Roman" w:eastAsia="Times New Roman" w:hAnsi="Times New Roman" w:cs="Times New Roman"/>
          <w:sz w:val="22"/>
          <w:szCs w:val="22"/>
        </w:rPr>
      </w:pPr>
    </w:p>
    <w:p w14:paraId="18636C2D" w14:textId="77777777" w:rsidR="00123B2F" w:rsidRDefault="00123B2F">
      <w:pPr>
        <w:rPr>
          <w:rFonts w:ascii="Times New Roman" w:eastAsia="Times New Roman" w:hAnsi="Times New Roman" w:cs="Times New Roman"/>
          <w:b/>
          <w:sz w:val="22"/>
          <w:szCs w:val="22"/>
        </w:rPr>
      </w:pPr>
    </w:p>
    <w:p w14:paraId="18636C2E" w14:textId="77777777" w:rsidR="00123B2F" w:rsidRDefault="003C3CEE">
      <w:pPr>
        <w:spacing w:line="276" w:lineRule="auto"/>
        <w:jc w:val="center"/>
        <w:rPr>
          <w:rFonts w:ascii="Times New Roman" w:eastAsia="Times New Roman" w:hAnsi="Times New Roman" w:cs="Times New Roman"/>
          <w:b/>
          <w:color w:val="181C36"/>
        </w:rPr>
      </w:pPr>
      <w:r>
        <w:rPr>
          <w:rFonts w:ascii="Times New Roman" w:eastAsia="Times New Roman" w:hAnsi="Times New Roman" w:cs="Times New Roman"/>
          <w:b/>
          <w:color w:val="181C36"/>
        </w:rPr>
        <w:t>8. RELACIÓN DE LA INICIATIVA CON EL PLAN DISTRITAL DE DESARROLLO 2024 - 2027 “BOGOTÁ CAMINA SEGURA”</w:t>
      </w:r>
    </w:p>
    <w:p w14:paraId="18636C2F" w14:textId="77777777" w:rsidR="00123B2F" w:rsidRDefault="00123B2F">
      <w:pPr>
        <w:spacing w:line="276" w:lineRule="auto"/>
        <w:rPr>
          <w:rFonts w:ascii="Times New Roman" w:eastAsia="Times New Roman" w:hAnsi="Times New Roman" w:cs="Times New Roman"/>
          <w:b/>
          <w:color w:val="181C36"/>
        </w:rPr>
      </w:pPr>
    </w:p>
    <w:p w14:paraId="18636C30" w14:textId="77777777" w:rsidR="00123B2F" w:rsidRDefault="003C3CEE">
      <w:pPr>
        <w:pBdr>
          <w:top w:val="nil"/>
          <w:left w:val="nil"/>
          <w:bottom w:val="nil"/>
          <w:right w:val="nil"/>
          <w:between w:val="nil"/>
        </w:pBd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El presente Proyecto de Acuerdo contribuye </w:t>
      </w:r>
      <w:r>
        <w:rPr>
          <w:rFonts w:ascii="Times New Roman" w:eastAsia="Times New Roman" w:hAnsi="Times New Roman" w:cs="Times New Roman"/>
          <w:sz w:val="22"/>
          <w:szCs w:val="22"/>
        </w:rPr>
        <w:t>al cumplimiento del Plan Distrital de Desarrollo vigente, en particular, en lo referente al fortalecimiento de  la economía local y su relación con la seguridad alimentaria, pues se establece lo siguiente:</w:t>
      </w:r>
    </w:p>
    <w:p w14:paraId="18636C31" w14:textId="77777777" w:rsidR="00123B2F" w:rsidRDefault="00123B2F">
      <w:pPr>
        <w:pBdr>
          <w:top w:val="nil"/>
          <w:left w:val="nil"/>
          <w:bottom w:val="nil"/>
          <w:right w:val="nil"/>
          <w:between w:val="nil"/>
        </w:pBdr>
        <w:jc w:val="both"/>
        <w:rPr>
          <w:rFonts w:ascii="Times New Roman" w:eastAsia="Times New Roman" w:hAnsi="Times New Roman" w:cs="Times New Roman"/>
          <w:sz w:val="22"/>
          <w:szCs w:val="22"/>
        </w:rPr>
      </w:pPr>
    </w:p>
    <w:p w14:paraId="18636C32" w14:textId="77777777" w:rsidR="00123B2F" w:rsidRDefault="003C3CEE">
      <w:pPr>
        <w:pBdr>
          <w:top w:val="nil"/>
          <w:left w:val="nil"/>
          <w:bottom w:val="nil"/>
          <w:right w:val="nil"/>
          <w:between w:val="nil"/>
        </w:pBdr>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rPr>
        <w:t xml:space="preserve">La iniciativa propende por la ejecución del </w:t>
      </w:r>
      <w:r>
        <w:rPr>
          <w:rFonts w:ascii="Times New Roman" w:eastAsia="Times New Roman" w:hAnsi="Times New Roman" w:cs="Times New Roman"/>
          <w:b/>
          <w:sz w:val="22"/>
          <w:szCs w:val="22"/>
        </w:rPr>
        <w:t>Artículo 10. Programas del objetivo estratégico “Bogotá confía en su Bien-Estar”</w:t>
      </w:r>
      <w:r>
        <w:rPr>
          <w:rFonts w:ascii="Times New Roman" w:eastAsia="Times New Roman" w:hAnsi="Times New Roman" w:cs="Times New Roman"/>
          <w:sz w:val="22"/>
          <w:szCs w:val="22"/>
        </w:rPr>
        <w:t>, bajo el cual se establece la implementación del</w:t>
      </w:r>
      <w:r>
        <w:rPr>
          <w:rFonts w:ascii="Times New Roman" w:eastAsia="Times New Roman" w:hAnsi="Times New Roman" w:cs="Times New Roman"/>
          <w:b/>
          <w:sz w:val="22"/>
          <w:szCs w:val="22"/>
        </w:rPr>
        <w:t xml:space="preserve"> Programa 8 “Erradicación del hambre en Bogotá”</w:t>
      </w:r>
      <w:r>
        <w:rPr>
          <w:rFonts w:ascii="Times New Roman" w:eastAsia="Times New Roman" w:hAnsi="Times New Roman" w:cs="Times New Roman"/>
          <w:sz w:val="22"/>
          <w:szCs w:val="22"/>
        </w:rPr>
        <w:t xml:space="preserve"> cuyo objetivo radica en la reducción de la inseguridad alimentaria y garantizar</w:t>
      </w:r>
      <w:r>
        <w:rPr>
          <w:rFonts w:ascii="Times New Roman" w:eastAsia="Times New Roman" w:hAnsi="Times New Roman" w:cs="Times New Roman"/>
          <w:sz w:val="22"/>
          <w:szCs w:val="22"/>
        </w:rPr>
        <w:t xml:space="preserve"> el derecho a la alimentación a través de la adopción de intervenciones de atención directa a los grupos poblacionales y sectores sociales para garantizar el acceso integral a los servicios sociales con componente nutricional del Distrito, la ampliación de</w:t>
      </w:r>
      <w:r>
        <w:rPr>
          <w:rFonts w:ascii="Times New Roman" w:eastAsia="Times New Roman" w:hAnsi="Times New Roman" w:cs="Times New Roman"/>
          <w:sz w:val="22"/>
          <w:szCs w:val="22"/>
        </w:rPr>
        <w:t xml:space="preserve"> cupos en comedores comunitarios y servicios en zonas de difícil acceso, el fortalecimiento de la solidaridad ciudadana en colaboración con comunidades, organizaciones civiles y el sector privado y la implementación de un modelo de gestión solidaria de ali</w:t>
      </w:r>
      <w:r>
        <w:rPr>
          <w:rFonts w:ascii="Times New Roman" w:eastAsia="Times New Roman" w:hAnsi="Times New Roman" w:cs="Times New Roman"/>
          <w:sz w:val="22"/>
          <w:szCs w:val="22"/>
        </w:rPr>
        <w:t>mentos articulado con agricultores y empresario. Además, establece el mejoramiento técnico y comercialmente de actores del Sistema de Abastecimiento y Distribución de Alimentos, involucrando productores, distribuidores y comerciantes, en aras de lograr una</w:t>
      </w:r>
      <w:r>
        <w:rPr>
          <w:rFonts w:ascii="Times New Roman" w:eastAsia="Times New Roman" w:hAnsi="Times New Roman" w:cs="Times New Roman"/>
          <w:sz w:val="22"/>
          <w:szCs w:val="22"/>
        </w:rPr>
        <w:t xml:space="preserve"> Bogotá con menos pobreza y menos hambre.</w:t>
      </w:r>
      <w:r>
        <w:rPr>
          <w:rFonts w:ascii="Times New Roman" w:eastAsia="Times New Roman" w:hAnsi="Times New Roman" w:cs="Times New Roman"/>
          <w:sz w:val="22"/>
          <w:szCs w:val="22"/>
          <w:highlight w:val="white"/>
          <w:vertAlign w:val="superscript"/>
        </w:rPr>
        <w:footnoteReference w:id="52"/>
      </w:r>
      <w:r>
        <w:rPr>
          <w:rFonts w:ascii="Times New Roman" w:eastAsia="Times New Roman" w:hAnsi="Times New Roman" w:cs="Times New Roman"/>
          <w:sz w:val="22"/>
          <w:szCs w:val="22"/>
          <w:highlight w:val="white"/>
        </w:rPr>
        <w:t xml:space="preserve"> </w:t>
      </w:r>
    </w:p>
    <w:p w14:paraId="18636C33" w14:textId="77777777" w:rsidR="00123B2F" w:rsidRDefault="00123B2F">
      <w:pPr>
        <w:pBdr>
          <w:top w:val="nil"/>
          <w:left w:val="nil"/>
          <w:bottom w:val="nil"/>
          <w:right w:val="nil"/>
          <w:between w:val="nil"/>
        </w:pBdr>
        <w:jc w:val="both"/>
        <w:rPr>
          <w:rFonts w:ascii="Times New Roman" w:eastAsia="Times New Roman" w:hAnsi="Times New Roman" w:cs="Times New Roman"/>
          <w:sz w:val="22"/>
          <w:szCs w:val="22"/>
          <w:highlight w:val="white"/>
        </w:rPr>
      </w:pPr>
    </w:p>
    <w:p w14:paraId="18636C34" w14:textId="77777777" w:rsidR="00123B2F" w:rsidRDefault="003C3CEE">
      <w:pPr>
        <w:pBdr>
          <w:top w:val="nil"/>
          <w:left w:val="nil"/>
          <w:bottom w:val="nil"/>
          <w:right w:val="nil"/>
          <w:between w:val="nil"/>
        </w:pBdr>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 xml:space="preserve">Por otro lado,  la presente propuesta se alinea con el cumplimiento del </w:t>
      </w:r>
      <w:r>
        <w:rPr>
          <w:rFonts w:ascii="Times New Roman" w:eastAsia="Times New Roman" w:hAnsi="Times New Roman" w:cs="Times New Roman"/>
          <w:b/>
          <w:sz w:val="22"/>
          <w:szCs w:val="22"/>
          <w:highlight w:val="white"/>
        </w:rPr>
        <w:t>Artículo</w:t>
      </w:r>
      <w:r>
        <w:rPr>
          <w:rFonts w:ascii="Times New Roman" w:eastAsia="Times New Roman" w:hAnsi="Times New Roman" w:cs="Times New Roman"/>
          <w:sz w:val="22"/>
          <w:szCs w:val="22"/>
          <w:highlight w:val="white"/>
        </w:rPr>
        <w:t xml:space="preserve"> </w:t>
      </w:r>
      <w:r>
        <w:rPr>
          <w:rFonts w:ascii="Times New Roman" w:eastAsia="Times New Roman" w:hAnsi="Times New Roman" w:cs="Times New Roman"/>
          <w:b/>
          <w:sz w:val="22"/>
          <w:szCs w:val="22"/>
          <w:highlight w:val="white"/>
        </w:rPr>
        <w:t xml:space="preserve">12. Programas del objetivo estratégico “Bogotá confía en su potencial”, </w:t>
      </w:r>
      <w:r>
        <w:rPr>
          <w:rFonts w:ascii="Times New Roman" w:eastAsia="Times New Roman" w:hAnsi="Times New Roman" w:cs="Times New Roman"/>
          <w:sz w:val="22"/>
          <w:szCs w:val="22"/>
          <w:highlight w:val="white"/>
        </w:rPr>
        <w:t>bajo el cual se estipula el</w:t>
      </w:r>
      <w:r>
        <w:rPr>
          <w:rFonts w:ascii="Times New Roman" w:eastAsia="Times New Roman" w:hAnsi="Times New Roman" w:cs="Times New Roman"/>
          <w:b/>
          <w:sz w:val="22"/>
          <w:szCs w:val="22"/>
          <w:highlight w:val="white"/>
        </w:rPr>
        <w:t xml:space="preserve"> Programa 20. </w:t>
      </w:r>
      <w:r>
        <w:rPr>
          <w:rFonts w:ascii="Times New Roman" w:eastAsia="Times New Roman" w:hAnsi="Times New Roman" w:cs="Times New Roman"/>
          <w:b/>
          <w:sz w:val="22"/>
          <w:szCs w:val="22"/>
          <w:highlight w:val="white"/>
        </w:rPr>
        <w:lastRenderedPageBreak/>
        <w:t>“Promoción del em</w:t>
      </w:r>
      <w:r>
        <w:rPr>
          <w:rFonts w:ascii="Times New Roman" w:eastAsia="Times New Roman" w:hAnsi="Times New Roman" w:cs="Times New Roman"/>
          <w:b/>
          <w:sz w:val="22"/>
          <w:szCs w:val="22"/>
          <w:highlight w:val="white"/>
        </w:rPr>
        <w:t xml:space="preserve">prendimiento formal, equitativo e incluyente”. </w:t>
      </w:r>
      <w:r>
        <w:rPr>
          <w:rFonts w:ascii="Times New Roman" w:eastAsia="Times New Roman" w:hAnsi="Times New Roman" w:cs="Times New Roman"/>
          <w:sz w:val="22"/>
          <w:szCs w:val="22"/>
          <w:highlight w:val="white"/>
        </w:rPr>
        <w:t>Este programa busca implementar un Sistema Distrital de Apoyo al Emprendimiento que ofrezca servicios técnicos, tecnológicos y financieros a emprendedores, incluyendo comerciantes informales, con el fin de for</w:t>
      </w:r>
      <w:r>
        <w:rPr>
          <w:rFonts w:ascii="Times New Roman" w:eastAsia="Times New Roman" w:hAnsi="Times New Roman" w:cs="Times New Roman"/>
          <w:sz w:val="22"/>
          <w:szCs w:val="22"/>
          <w:highlight w:val="white"/>
        </w:rPr>
        <w:t>malizar y potenciar sus negocios. Este sistema prioriza poblaciones vulnerables como mujeres, jóvenes, personas mayores, comunidades étnicas, rurales, personas con discapacidad y vendedores informales, promoviendo su autonomía, productividad y seguridad ec</w:t>
      </w:r>
      <w:r>
        <w:rPr>
          <w:rFonts w:ascii="Times New Roman" w:eastAsia="Times New Roman" w:hAnsi="Times New Roman" w:cs="Times New Roman"/>
          <w:sz w:val="22"/>
          <w:szCs w:val="22"/>
          <w:highlight w:val="white"/>
        </w:rPr>
        <w:t>onómica.</w:t>
      </w:r>
      <w:r>
        <w:rPr>
          <w:rFonts w:ascii="Times New Roman" w:eastAsia="Times New Roman" w:hAnsi="Times New Roman" w:cs="Times New Roman"/>
          <w:sz w:val="22"/>
          <w:szCs w:val="22"/>
          <w:highlight w:val="white"/>
          <w:vertAlign w:val="superscript"/>
        </w:rPr>
        <w:footnoteReference w:id="53"/>
      </w:r>
    </w:p>
    <w:p w14:paraId="18636C35" w14:textId="77777777" w:rsidR="00123B2F" w:rsidRDefault="003C3CEE">
      <w:pPr>
        <w:pBdr>
          <w:top w:val="nil"/>
          <w:left w:val="nil"/>
          <w:bottom w:val="nil"/>
          <w:right w:val="nil"/>
          <w:between w:val="nil"/>
        </w:pBdr>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De manera específica el proyecto le apunta al cumplimiento del desarrollo de conexiones para promover la intermediación empresarial de los negocios locales en los mercados nacionales e internacionales, incentivando las ferias de emprendimiento de</w:t>
      </w:r>
      <w:r>
        <w:rPr>
          <w:rFonts w:ascii="Times New Roman" w:eastAsia="Times New Roman" w:hAnsi="Times New Roman" w:cs="Times New Roman"/>
          <w:sz w:val="22"/>
          <w:szCs w:val="22"/>
          <w:highlight w:val="white"/>
        </w:rPr>
        <w:t xml:space="preserve"> las y los ciudadanos del distrito capital, a través de estrategias que involucren a los sectores económicos y productivos de la ciudad; asimismo orienta el fortalecimiento de  negocios locales de la ciudad a través de formación y asistencia técnica especi</w:t>
      </w:r>
      <w:r>
        <w:rPr>
          <w:rFonts w:ascii="Times New Roman" w:eastAsia="Times New Roman" w:hAnsi="Times New Roman" w:cs="Times New Roman"/>
          <w:sz w:val="22"/>
          <w:szCs w:val="22"/>
          <w:highlight w:val="white"/>
        </w:rPr>
        <w:t>alizada, promoviendo la inclusión asi y la realización de  capacitaciones de emprendimiento y economía circular en coordinación con la UAESP dirigidas a la población recicladora en aras de incentivar el desarrollo económico y la productividad. De igual for</w:t>
      </w:r>
      <w:r>
        <w:rPr>
          <w:rFonts w:ascii="Times New Roman" w:eastAsia="Times New Roman" w:hAnsi="Times New Roman" w:cs="Times New Roman"/>
          <w:sz w:val="22"/>
          <w:szCs w:val="22"/>
          <w:highlight w:val="white"/>
        </w:rPr>
        <w:t>ma, dirige acciones especificas para el apoyo financiero a negocios locales d el industria panificadora con el fin de contribuir a su fortalecimiento sostenibilidad y crecimiento,  priorizando mujeres, jóvenes y personas mayores de 50 años.</w:t>
      </w:r>
      <w:r>
        <w:rPr>
          <w:rFonts w:ascii="Times New Roman" w:eastAsia="Times New Roman" w:hAnsi="Times New Roman" w:cs="Times New Roman"/>
          <w:sz w:val="22"/>
          <w:szCs w:val="22"/>
          <w:highlight w:val="white"/>
          <w:vertAlign w:val="superscript"/>
        </w:rPr>
        <w:footnoteReference w:id="54"/>
      </w:r>
    </w:p>
    <w:p w14:paraId="18636C36" w14:textId="77777777" w:rsidR="00123B2F" w:rsidRDefault="00123B2F">
      <w:pPr>
        <w:pBdr>
          <w:top w:val="nil"/>
          <w:left w:val="nil"/>
          <w:bottom w:val="nil"/>
          <w:right w:val="nil"/>
          <w:between w:val="nil"/>
        </w:pBdr>
        <w:jc w:val="both"/>
        <w:rPr>
          <w:rFonts w:ascii="Times New Roman" w:eastAsia="Times New Roman" w:hAnsi="Times New Roman" w:cs="Times New Roman"/>
          <w:highlight w:val="white"/>
        </w:rPr>
      </w:pPr>
    </w:p>
    <w:p w14:paraId="18636C37" w14:textId="77777777" w:rsidR="00123B2F" w:rsidRDefault="003C3CEE">
      <w:pPr>
        <w:pBdr>
          <w:top w:val="nil"/>
          <w:left w:val="nil"/>
          <w:bottom w:val="nil"/>
          <w:right w:val="nil"/>
          <w:between w:val="nil"/>
        </w:pBdr>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Por último, l</w:t>
      </w:r>
      <w:r>
        <w:rPr>
          <w:rFonts w:ascii="Times New Roman" w:eastAsia="Times New Roman" w:hAnsi="Times New Roman" w:cs="Times New Roman"/>
          <w:sz w:val="22"/>
          <w:szCs w:val="22"/>
          <w:highlight w:val="white"/>
        </w:rPr>
        <w:t>a iniciativa también propende por la ejecución del Artículo 12 por medio del Programa 19 que dentro de sus objetivos busca fomentar el desarrollo económico sostenible. A través de diferentes tipos de asistencia técnica y financiera de los múltiples sectore</w:t>
      </w:r>
      <w:r>
        <w:rPr>
          <w:rFonts w:ascii="Times New Roman" w:eastAsia="Times New Roman" w:hAnsi="Times New Roman" w:cs="Times New Roman"/>
          <w:sz w:val="22"/>
          <w:szCs w:val="22"/>
          <w:highlight w:val="white"/>
        </w:rPr>
        <w:t>s estratégicos impulsa el desarrollo de competencias y la generación de empleo con incentivos. Además creará líneas de crédito para comerciantes afectados por retrasos en obras públicas y apoyará proyectos empresariales mediante esquemas de pago por result</w:t>
      </w:r>
      <w:r>
        <w:rPr>
          <w:rFonts w:ascii="Times New Roman" w:eastAsia="Times New Roman" w:hAnsi="Times New Roman" w:cs="Times New Roman"/>
          <w:sz w:val="22"/>
          <w:szCs w:val="22"/>
          <w:highlight w:val="white"/>
        </w:rPr>
        <w:t>ados.</w:t>
      </w:r>
      <w:r>
        <w:rPr>
          <w:rFonts w:ascii="Times New Roman" w:eastAsia="Times New Roman" w:hAnsi="Times New Roman" w:cs="Times New Roman"/>
          <w:sz w:val="22"/>
          <w:szCs w:val="22"/>
          <w:highlight w:val="white"/>
          <w:vertAlign w:val="superscript"/>
        </w:rPr>
        <w:footnoteReference w:id="55"/>
      </w:r>
      <w:r>
        <w:rPr>
          <w:rFonts w:ascii="Times New Roman" w:eastAsia="Times New Roman" w:hAnsi="Times New Roman" w:cs="Times New Roman"/>
          <w:sz w:val="22"/>
          <w:szCs w:val="22"/>
          <w:highlight w:val="white"/>
        </w:rPr>
        <w:t xml:space="preserve"> </w:t>
      </w:r>
    </w:p>
    <w:p w14:paraId="18636C38" w14:textId="77777777" w:rsidR="00123B2F" w:rsidRDefault="00123B2F">
      <w:pPr>
        <w:pBdr>
          <w:top w:val="nil"/>
          <w:left w:val="nil"/>
          <w:bottom w:val="nil"/>
          <w:right w:val="nil"/>
          <w:between w:val="nil"/>
        </w:pBdr>
        <w:jc w:val="both"/>
        <w:rPr>
          <w:rFonts w:ascii="Times New Roman" w:eastAsia="Times New Roman" w:hAnsi="Times New Roman" w:cs="Times New Roman"/>
          <w:sz w:val="22"/>
          <w:szCs w:val="22"/>
          <w:highlight w:val="white"/>
        </w:rPr>
      </w:pPr>
    </w:p>
    <w:p w14:paraId="18636C39" w14:textId="77777777" w:rsidR="00123B2F" w:rsidRDefault="003C3CEE">
      <w:pPr>
        <w:pBdr>
          <w:top w:val="nil"/>
          <w:left w:val="nil"/>
          <w:bottom w:val="nil"/>
          <w:right w:val="nil"/>
          <w:between w:val="nil"/>
        </w:pBdr>
        <w:jc w:val="both"/>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 xml:space="preserve">Por ende, la presente propuesta de proyecto de acuerdo es viable dentro del plan Bogotá Camina Segura (2024-2027). </w:t>
      </w:r>
    </w:p>
    <w:p w14:paraId="18636C3A" w14:textId="77777777" w:rsidR="00123B2F" w:rsidRDefault="00123B2F">
      <w:pPr>
        <w:rPr>
          <w:rFonts w:ascii="Times New Roman" w:eastAsia="Times New Roman" w:hAnsi="Times New Roman" w:cs="Times New Roman"/>
          <w:b/>
          <w:sz w:val="22"/>
          <w:szCs w:val="22"/>
        </w:rPr>
      </w:pPr>
    </w:p>
    <w:p w14:paraId="18636C3B" w14:textId="77777777" w:rsidR="00123B2F" w:rsidRDefault="00123B2F">
      <w:pPr>
        <w:rPr>
          <w:rFonts w:ascii="Times New Roman" w:eastAsia="Times New Roman" w:hAnsi="Times New Roman" w:cs="Times New Roman"/>
          <w:sz w:val="22"/>
          <w:szCs w:val="22"/>
        </w:rPr>
      </w:pPr>
    </w:p>
    <w:p w14:paraId="18636C3C" w14:textId="77777777" w:rsidR="00123B2F" w:rsidRDefault="00123B2F">
      <w:pPr>
        <w:rPr>
          <w:rFonts w:ascii="Times New Roman" w:eastAsia="Times New Roman" w:hAnsi="Times New Roman" w:cs="Times New Roman"/>
          <w:sz w:val="22"/>
          <w:szCs w:val="22"/>
        </w:rPr>
      </w:pPr>
    </w:p>
    <w:p w14:paraId="18636C3D" w14:textId="77777777" w:rsidR="00123B2F" w:rsidRDefault="00123B2F">
      <w:pPr>
        <w:rPr>
          <w:rFonts w:ascii="Times New Roman" w:eastAsia="Times New Roman" w:hAnsi="Times New Roman" w:cs="Times New Roman"/>
          <w:sz w:val="22"/>
          <w:szCs w:val="22"/>
        </w:rPr>
      </w:pPr>
    </w:p>
    <w:p w14:paraId="18636C3E" w14:textId="77777777" w:rsidR="00123B2F" w:rsidRDefault="00123B2F">
      <w:pPr>
        <w:rPr>
          <w:rFonts w:ascii="Times New Roman" w:eastAsia="Times New Roman" w:hAnsi="Times New Roman" w:cs="Times New Roman"/>
          <w:sz w:val="22"/>
          <w:szCs w:val="22"/>
        </w:rPr>
      </w:pPr>
    </w:p>
    <w:p w14:paraId="18636C3F" w14:textId="77777777" w:rsidR="00123B2F" w:rsidRDefault="00123B2F">
      <w:pPr>
        <w:rPr>
          <w:rFonts w:ascii="Times New Roman" w:eastAsia="Times New Roman" w:hAnsi="Times New Roman" w:cs="Times New Roman"/>
          <w:sz w:val="22"/>
          <w:szCs w:val="22"/>
        </w:rPr>
      </w:pPr>
    </w:p>
    <w:p w14:paraId="18636C40" w14:textId="77777777" w:rsidR="00123B2F" w:rsidRDefault="003C3CEE">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9. PARTICIPACIÓN CIUDADANA</w:t>
      </w:r>
    </w:p>
    <w:p w14:paraId="18636C41" w14:textId="77777777" w:rsidR="00123B2F" w:rsidRDefault="00123B2F">
      <w:pPr>
        <w:jc w:val="center"/>
        <w:rPr>
          <w:rFonts w:ascii="Times New Roman" w:eastAsia="Times New Roman" w:hAnsi="Times New Roman" w:cs="Times New Roman"/>
          <w:b/>
          <w:sz w:val="22"/>
          <w:szCs w:val="22"/>
        </w:rPr>
      </w:pPr>
    </w:p>
    <w:p w14:paraId="18636C42" w14:textId="77777777" w:rsidR="00123B2F" w:rsidRDefault="00123B2F">
      <w:pPr>
        <w:jc w:val="center"/>
        <w:rPr>
          <w:rFonts w:ascii="Times New Roman" w:eastAsia="Times New Roman" w:hAnsi="Times New Roman" w:cs="Times New Roman"/>
          <w:b/>
          <w:sz w:val="22"/>
          <w:szCs w:val="22"/>
        </w:rPr>
      </w:pPr>
    </w:p>
    <w:p w14:paraId="18636C43"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la construcción de este Proyecto de Acuerdo se contó con la participación de diferentes personas que hacen parte de la cadena productiva del pan de la ciudad. En especial, se recibieron los aportes y comentarios de la Federación Nacional de Molineros de</w:t>
      </w:r>
      <w:r>
        <w:rPr>
          <w:rFonts w:ascii="Times New Roman" w:eastAsia="Times New Roman" w:hAnsi="Times New Roman" w:cs="Times New Roman"/>
          <w:sz w:val="22"/>
          <w:szCs w:val="22"/>
        </w:rPr>
        <w:t xml:space="preserve"> Trigo (FEDEMOL), así como de expertos académicos, líderes empresariales, panaderos y consumidores. A continuación, se relacionan fotografías de espacios en los que se realizaron estos ejercicios de co-construcción.</w:t>
      </w:r>
    </w:p>
    <w:p w14:paraId="18636C44" w14:textId="77777777" w:rsidR="00123B2F" w:rsidRDefault="00123B2F">
      <w:pPr>
        <w:jc w:val="both"/>
        <w:rPr>
          <w:rFonts w:ascii="Times New Roman" w:eastAsia="Times New Roman" w:hAnsi="Times New Roman" w:cs="Times New Roman"/>
          <w:sz w:val="22"/>
          <w:szCs w:val="22"/>
        </w:rPr>
      </w:pPr>
    </w:p>
    <w:p w14:paraId="18636C45" w14:textId="77777777" w:rsidR="00123B2F" w:rsidRDefault="003C3CEE">
      <w:pPr>
        <w:widowControl w:val="0"/>
        <w:pBdr>
          <w:top w:val="none" w:sz="0" w:space="0" w:color="000000"/>
          <w:left w:val="none" w:sz="0" w:space="0" w:color="000000"/>
          <w:bottom w:val="none" w:sz="0" w:space="0" w:color="000000"/>
          <w:right w:val="none" w:sz="0" w:space="0" w:color="000000"/>
          <w:between w:val="none" w:sz="0" w:space="0" w:color="000000"/>
        </w:pBdr>
        <w:jc w:val="right"/>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drawing>
          <wp:inline distT="114300" distB="114300" distL="114300" distR="114300" wp14:anchorId="18636CB5" wp14:editId="18636CB6">
            <wp:extent cx="2694623" cy="1781175"/>
            <wp:effectExtent l="0" t="0" r="0" b="0"/>
            <wp:docPr id="103"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6"/>
                    <a:srcRect/>
                    <a:stretch>
                      <a:fillRect/>
                    </a:stretch>
                  </pic:blipFill>
                  <pic:spPr>
                    <a:xfrm>
                      <a:off x="0" y="0"/>
                      <a:ext cx="2694623" cy="1781175"/>
                    </a:xfrm>
                    <a:prstGeom prst="rect">
                      <a:avLst/>
                    </a:prstGeom>
                    <a:ln/>
                  </pic:spPr>
                </pic:pic>
              </a:graphicData>
            </a:graphic>
          </wp:inline>
        </w:drawing>
      </w:r>
      <w:r>
        <w:rPr>
          <w:rFonts w:ascii="Times New Roman" w:eastAsia="Times New Roman" w:hAnsi="Times New Roman" w:cs="Times New Roman"/>
          <w:noProof/>
          <w:sz w:val="22"/>
          <w:szCs w:val="22"/>
          <w:lang w:val="es-CO"/>
        </w:rPr>
        <w:drawing>
          <wp:inline distT="114300" distB="114300" distL="114300" distR="114300" wp14:anchorId="18636CB7" wp14:editId="18636CB8">
            <wp:extent cx="2657475" cy="1778000"/>
            <wp:effectExtent l="0" t="0" r="0" b="0"/>
            <wp:docPr id="10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7"/>
                    <a:srcRect/>
                    <a:stretch>
                      <a:fillRect/>
                    </a:stretch>
                  </pic:blipFill>
                  <pic:spPr>
                    <a:xfrm>
                      <a:off x="0" y="0"/>
                      <a:ext cx="2657475" cy="1778000"/>
                    </a:xfrm>
                    <a:prstGeom prst="rect">
                      <a:avLst/>
                    </a:prstGeom>
                    <a:ln/>
                  </pic:spPr>
                </pic:pic>
              </a:graphicData>
            </a:graphic>
          </wp:inline>
        </w:drawing>
      </w:r>
    </w:p>
    <w:p w14:paraId="18636C46" w14:textId="77777777" w:rsidR="00123B2F" w:rsidRDefault="00123B2F">
      <w:pPr>
        <w:jc w:val="both"/>
        <w:rPr>
          <w:rFonts w:ascii="Times New Roman" w:eastAsia="Times New Roman" w:hAnsi="Times New Roman" w:cs="Times New Roman"/>
          <w:sz w:val="22"/>
          <w:szCs w:val="22"/>
        </w:rPr>
      </w:pPr>
    </w:p>
    <w:p w14:paraId="18636C47"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Por otro lado, en el año 2023 se ejecutaron 3 ferias del pan en las que se apoyaron al impulso comercial de panificadoras y habitantes de la localidad por medio de una iniciativa público privada y actividades para la reactivación económica de este sector. </w:t>
      </w:r>
      <w:r>
        <w:rPr>
          <w:rFonts w:ascii="Times New Roman" w:eastAsia="Times New Roman" w:hAnsi="Times New Roman" w:cs="Times New Roman"/>
          <w:sz w:val="22"/>
          <w:szCs w:val="22"/>
        </w:rPr>
        <w:t>La primera feria se realizó en la localidad de Puente Aranda, en la que se dieron 9.000 piezas de pan de manera gratuita y se realizaron múltiples actividades para la revitalización de puntos comerciales de la localidad apoyando a 12 panificadoras. La segu</w:t>
      </w:r>
      <w:r>
        <w:rPr>
          <w:rFonts w:ascii="Times New Roman" w:eastAsia="Times New Roman" w:hAnsi="Times New Roman" w:cs="Times New Roman"/>
          <w:sz w:val="22"/>
          <w:szCs w:val="22"/>
        </w:rPr>
        <w:t>nda feria tuvo lugar en la localidad de Usme, en la que se donaron 15.000 piezas de pan y se realizó una alianza con 20 panificadoras de la localidad. Por último, se desarrolló la feria en Corabastos donde se donaron 6.000 huevos, 20.000 muestras de pan, y</w:t>
      </w:r>
      <w:r>
        <w:rPr>
          <w:rFonts w:ascii="Times New Roman" w:eastAsia="Times New Roman" w:hAnsi="Times New Roman" w:cs="Times New Roman"/>
          <w:sz w:val="22"/>
          <w:szCs w:val="22"/>
        </w:rPr>
        <w:t xml:space="preserve"> además se batió un récord mundial, pues junto con múltiples panificadoras se horneó el pan más largo del mundo hecho con café, alcanzando 355 metros de longitud (Martinez, 2023)</w:t>
      </w:r>
      <w:r>
        <w:rPr>
          <w:rFonts w:ascii="Times New Roman" w:eastAsia="Times New Roman" w:hAnsi="Times New Roman" w:cs="Times New Roman"/>
          <w:sz w:val="22"/>
          <w:szCs w:val="22"/>
          <w:vertAlign w:val="superscript"/>
        </w:rPr>
        <w:footnoteReference w:id="56"/>
      </w:r>
      <w:r>
        <w:rPr>
          <w:rFonts w:ascii="Times New Roman" w:eastAsia="Times New Roman" w:hAnsi="Times New Roman" w:cs="Times New Roman"/>
          <w:sz w:val="22"/>
          <w:szCs w:val="22"/>
        </w:rPr>
        <w:t>. A continuación, se relacionan fotografías de espacios</w:t>
      </w:r>
    </w:p>
    <w:p w14:paraId="18636C48" w14:textId="77777777" w:rsidR="00123B2F" w:rsidRDefault="00123B2F">
      <w:pPr>
        <w:jc w:val="both"/>
        <w:rPr>
          <w:rFonts w:ascii="Times New Roman" w:eastAsia="Times New Roman" w:hAnsi="Times New Roman" w:cs="Times New Roman"/>
          <w:sz w:val="22"/>
          <w:szCs w:val="22"/>
        </w:rPr>
      </w:pPr>
    </w:p>
    <w:p w14:paraId="18636C49" w14:textId="77777777" w:rsidR="00123B2F" w:rsidRDefault="00123B2F">
      <w:pPr>
        <w:jc w:val="both"/>
        <w:rPr>
          <w:rFonts w:ascii="Times New Roman" w:eastAsia="Times New Roman" w:hAnsi="Times New Roman" w:cs="Times New Roman"/>
          <w:sz w:val="22"/>
          <w:szCs w:val="22"/>
        </w:rPr>
      </w:pPr>
    </w:p>
    <w:p w14:paraId="18636C4A" w14:textId="77777777" w:rsidR="00123B2F" w:rsidRDefault="00123B2F">
      <w:pPr>
        <w:jc w:val="both"/>
        <w:rPr>
          <w:rFonts w:ascii="Times New Roman" w:eastAsia="Times New Roman" w:hAnsi="Times New Roman" w:cs="Times New Roman"/>
          <w:sz w:val="22"/>
          <w:szCs w:val="22"/>
        </w:rPr>
      </w:pPr>
    </w:p>
    <w:p w14:paraId="18636C4B" w14:textId="77777777" w:rsidR="00123B2F" w:rsidRDefault="00123B2F">
      <w:pPr>
        <w:jc w:val="both"/>
        <w:rPr>
          <w:rFonts w:ascii="Times New Roman" w:eastAsia="Times New Roman" w:hAnsi="Times New Roman" w:cs="Times New Roman"/>
          <w:sz w:val="22"/>
          <w:szCs w:val="22"/>
        </w:rPr>
      </w:pPr>
    </w:p>
    <w:p w14:paraId="18636C4C" w14:textId="77777777" w:rsidR="00123B2F" w:rsidRDefault="00123B2F">
      <w:pPr>
        <w:jc w:val="both"/>
        <w:rPr>
          <w:rFonts w:ascii="Times New Roman" w:eastAsia="Times New Roman" w:hAnsi="Times New Roman" w:cs="Times New Roman"/>
          <w:sz w:val="22"/>
          <w:szCs w:val="22"/>
        </w:rPr>
      </w:pPr>
    </w:p>
    <w:p w14:paraId="18636C4D" w14:textId="77777777" w:rsidR="00123B2F" w:rsidRDefault="00123B2F">
      <w:pPr>
        <w:jc w:val="both"/>
        <w:rPr>
          <w:rFonts w:ascii="Times New Roman" w:eastAsia="Times New Roman" w:hAnsi="Times New Roman" w:cs="Times New Roman"/>
          <w:sz w:val="22"/>
          <w:szCs w:val="22"/>
        </w:rPr>
      </w:pPr>
    </w:p>
    <w:p w14:paraId="18636C4E" w14:textId="77777777" w:rsidR="00123B2F" w:rsidRDefault="00123B2F">
      <w:pPr>
        <w:jc w:val="both"/>
        <w:rPr>
          <w:rFonts w:ascii="Times New Roman" w:eastAsia="Times New Roman" w:hAnsi="Times New Roman" w:cs="Times New Roman"/>
          <w:sz w:val="22"/>
          <w:szCs w:val="22"/>
        </w:rPr>
      </w:pPr>
    </w:p>
    <w:p w14:paraId="18636C4F" w14:textId="77777777" w:rsidR="00123B2F" w:rsidRDefault="00123B2F">
      <w:pPr>
        <w:jc w:val="both"/>
        <w:rPr>
          <w:rFonts w:ascii="Times New Roman" w:eastAsia="Times New Roman" w:hAnsi="Times New Roman" w:cs="Times New Roman"/>
          <w:sz w:val="22"/>
          <w:szCs w:val="22"/>
        </w:rPr>
      </w:pPr>
    </w:p>
    <w:p w14:paraId="18636C50" w14:textId="77777777" w:rsidR="00123B2F" w:rsidRDefault="00123B2F">
      <w:pPr>
        <w:jc w:val="both"/>
        <w:rPr>
          <w:rFonts w:ascii="Times New Roman" w:eastAsia="Times New Roman" w:hAnsi="Times New Roman" w:cs="Times New Roman"/>
          <w:sz w:val="22"/>
          <w:szCs w:val="22"/>
        </w:rPr>
      </w:pPr>
    </w:p>
    <w:p w14:paraId="18636C51" w14:textId="77777777" w:rsidR="00123B2F" w:rsidRDefault="003C3CEE">
      <w:pPr>
        <w:rPr>
          <w:rFonts w:ascii="Times New Roman" w:eastAsia="Times New Roman" w:hAnsi="Times New Roman" w:cs="Times New Roman"/>
          <w:sz w:val="22"/>
          <w:szCs w:val="22"/>
        </w:rPr>
      </w:pPr>
      <w:r>
        <w:rPr>
          <w:noProof/>
          <w:lang w:val="es-CO"/>
        </w:rPr>
        <w:drawing>
          <wp:anchor distT="114300" distB="114300" distL="114300" distR="114300" simplePos="0" relativeHeight="251659264" behindDoc="0" locked="0" layoutInCell="1" hidden="0" allowOverlap="1" wp14:anchorId="18636CB9" wp14:editId="18636CBA">
            <wp:simplePos x="0" y="0"/>
            <wp:positionH relativeFrom="column">
              <wp:posOffset>1676400</wp:posOffset>
            </wp:positionH>
            <wp:positionV relativeFrom="paragraph">
              <wp:posOffset>236841</wp:posOffset>
            </wp:positionV>
            <wp:extent cx="2166913" cy="1457325"/>
            <wp:effectExtent l="0" t="0" r="0" b="0"/>
            <wp:wrapNone/>
            <wp:docPr id="100"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8"/>
                    <a:srcRect/>
                    <a:stretch>
                      <a:fillRect/>
                    </a:stretch>
                  </pic:blipFill>
                  <pic:spPr>
                    <a:xfrm>
                      <a:off x="0" y="0"/>
                      <a:ext cx="2166913" cy="1457325"/>
                    </a:xfrm>
                    <a:prstGeom prst="rect">
                      <a:avLst/>
                    </a:prstGeom>
                    <a:ln/>
                  </pic:spPr>
                </pic:pic>
              </a:graphicData>
            </a:graphic>
          </wp:anchor>
        </w:drawing>
      </w:r>
      <w:r>
        <w:rPr>
          <w:noProof/>
          <w:lang w:val="es-CO"/>
        </w:rPr>
        <w:drawing>
          <wp:anchor distT="114300" distB="114300" distL="114300" distR="114300" simplePos="0" relativeHeight="251660288" behindDoc="0" locked="0" layoutInCell="1" hidden="0" allowOverlap="1" wp14:anchorId="18636CBB" wp14:editId="18636CBC">
            <wp:simplePos x="0" y="0"/>
            <wp:positionH relativeFrom="column">
              <wp:posOffset>4038600</wp:posOffset>
            </wp:positionH>
            <wp:positionV relativeFrom="paragraph">
              <wp:posOffset>209550</wp:posOffset>
            </wp:positionV>
            <wp:extent cx="2190750" cy="1466934"/>
            <wp:effectExtent l="0" t="0" r="0" b="0"/>
            <wp:wrapNone/>
            <wp:docPr id="113"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9"/>
                    <a:srcRect/>
                    <a:stretch>
                      <a:fillRect/>
                    </a:stretch>
                  </pic:blipFill>
                  <pic:spPr>
                    <a:xfrm>
                      <a:off x="0" y="0"/>
                      <a:ext cx="2190750" cy="1466934"/>
                    </a:xfrm>
                    <a:prstGeom prst="rect">
                      <a:avLst/>
                    </a:prstGeom>
                    <a:ln/>
                  </pic:spPr>
                </pic:pic>
              </a:graphicData>
            </a:graphic>
          </wp:anchor>
        </w:drawing>
      </w:r>
    </w:p>
    <w:p w14:paraId="18636C52" w14:textId="77777777" w:rsidR="00123B2F" w:rsidRDefault="003C3CEE">
      <w:pPr>
        <w:rPr>
          <w:rFonts w:ascii="Times New Roman" w:eastAsia="Times New Roman" w:hAnsi="Times New Roman" w:cs="Times New Roman"/>
          <w:sz w:val="22"/>
          <w:szCs w:val="22"/>
        </w:rPr>
      </w:pPr>
      <w:r>
        <w:rPr>
          <w:noProof/>
          <w:lang w:val="es-CO"/>
        </w:rPr>
        <w:drawing>
          <wp:anchor distT="57150" distB="57150" distL="57150" distR="57150" simplePos="0" relativeHeight="251661312" behindDoc="0" locked="0" layoutInCell="1" hidden="0" allowOverlap="1" wp14:anchorId="18636CBD" wp14:editId="18636CBE">
            <wp:simplePos x="0" y="0"/>
            <wp:positionH relativeFrom="column">
              <wp:posOffset>-714374</wp:posOffset>
            </wp:positionH>
            <wp:positionV relativeFrom="paragraph">
              <wp:posOffset>77484</wp:posOffset>
            </wp:positionV>
            <wp:extent cx="2190095" cy="1457520"/>
            <wp:effectExtent l="0" t="0" r="0" b="0"/>
            <wp:wrapTopAndBottom distT="57150" distB="57150"/>
            <wp:docPr id="99"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20"/>
                    <a:srcRect/>
                    <a:stretch>
                      <a:fillRect/>
                    </a:stretch>
                  </pic:blipFill>
                  <pic:spPr>
                    <a:xfrm>
                      <a:off x="0" y="0"/>
                      <a:ext cx="2190095" cy="1457520"/>
                    </a:xfrm>
                    <a:prstGeom prst="rect">
                      <a:avLst/>
                    </a:prstGeom>
                    <a:ln/>
                  </pic:spPr>
                </pic:pic>
              </a:graphicData>
            </a:graphic>
          </wp:anchor>
        </w:drawing>
      </w:r>
    </w:p>
    <w:p w14:paraId="18636C53" w14:textId="77777777" w:rsidR="00123B2F" w:rsidRDefault="00123B2F">
      <w:pPr>
        <w:rPr>
          <w:rFonts w:ascii="Times New Roman" w:eastAsia="Times New Roman" w:hAnsi="Times New Roman" w:cs="Times New Roman"/>
          <w:sz w:val="22"/>
          <w:szCs w:val="22"/>
        </w:rPr>
      </w:pPr>
    </w:p>
    <w:p w14:paraId="18636C54" w14:textId="77777777" w:rsidR="00123B2F" w:rsidRDefault="00123B2F">
      <w:pPr>
        <w:rPr>
          <w:rFonts w:ascii="Times New Roman" w:eastAsia="Times New Roman" w:hAnsi="Times New Roman" w:cs="Times New Roman"/>
          <w:sz w:val="22"/>
          <w:szCs w:val="22"/>
        </w:rPr>
      </w:pPr>
    </w:p>
    <w:p w14:paraId="18636C55" w14:textId="77777777" w:rsidR="00123B2F" w:rsidRDefault="00123B2F">
      <w:pPr>
        <w:rPr>
          <w:rFonts w:ascii="Times New Roman" w:eastAsia="Times New Roman" w:hAnsi="Times New Roman" w:cs="Times New Roman"/>
          <w:sz w:val="22"/>
          <w:szCs w:val="22"/>
        </w:rPr>
      </w:pPr>
    </w:p>
    <w:p w14:paraId="18636C56" w14:textId="77777777" w:rsidR="00123B2F" w:rsidRDefault="00123B2F">
      <w:pPr>
        <w:rPr>
          <w:rFonts w:ascii="Times New Roman" w:eastAsia="Times New Roman" w:hAnsi="Times New Roman" w:cs="Times New Roman"/>
          <w:sz w:val="22"/>
          <w:szCs w:val="22"/>
        </w:rPr>
      </w:pPr>
    </w:p>
    <w:p w14:paraId="18636C57" w14:textId="77777777" w:rsidR="00123B2F" w:rsidRDefault="00123B2F">
      <w:pPr>
        <w:rPr>
          <w:rFonts w:ascii="Times New Roman" w:eastAsia="Times New Roman" w:hAnsi="Times New Roman" w:cs="Times New Roman"/>
          <w:sz w:val="22"/>
          <w:szCs w:val="22"/>
        </w:rPr>
      </w:pPr>
    </w:p>
    <w:p w14:paraId="18636C58" w14:textId="77777777" w:rsidR="00123B2F" w:rsidRDefault="00123B2F">
      <w:pPr>
        <w:rPr>
          <w:rFonts w:ascii="Times New Roman" w:eastAsia="Times New Roman" w:hAnsi="Times New Roman" w:cs="Times New Roman"/>
          <w:sz w:val="22"/>
          <w:szCs w:val="22"/>
        </w:rPr>
      </w:pPr>
    </w:p>
    <w:p w14:paraId="18636C59" w14:textId="77777777" w:rsidR="00123B2F" w:rsidRDefault="00123B2F">
      <w:pPr>
        <w:rPr>
          <w:rFonts w:ascii="Times New Roman" w:eastAsia="Times New Roman" w:hAnsi="Times New Roman" w:cs="Times New Roman"/>
          <w:sz w:val="22"/>
          <w:szCs w:val="22"/>
        </w:rPr>
      </w:pPr>
    </w:p>
    <w:p w14:paraId="18636C5A" w14:textId="529B658E"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Cordialmente,</w:t>
      </w:r>
      <w:bookmarkStart w:id="0" w:name="_GoBack"/>
      <w:bookmarkEnd w:id="0"/>
    </w:p>
    <w:p w14:paraId="18636C5B"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br/>
      </w:r>
    </w:p>
    <w:p w14:paraId="18636C5C" w14:textId="77777777" w:rsidR="00123B2F" w:rsidRDefault="00123B2F">
      <w:pPr>
        <w:jc w:val="both"/>
        <w:rPr>
          <w:rFonts w:ascii="Times New Roman" w:eastAsia="Times New Roman" w:hAnsi="Times New Roman" w:cs="Times New Roman"/>
          <w:sz w:val="22"/>
          <w:szCs w:val="22"/>
        </w:rPr>
      </w:pPr>
    </w:p>
    <w:p w14:paraId="18636C5D" w14:textId="77777777" w:rsidR="00123B2F" w:rsidRDefault="00123B2F">
      <w:pPr>
        <w:jc w:val="both"/>
        <w:rPr>
          <w:rFonts w:ascii="Times New Roman" w:eastAsia="Times New Roman" w:hAnsi="Times New Roman" w:cs="Times New Roman"/>
          <w:sz w:val="22"/>
          <w:szCs w:val="22"/>
        </w:rPr>
      </w:pPr>
    </w:p>
    <w:p w14:paraId="18636C5E"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br/>
      </w:r>
      <w:r>
        <w:rPr>
          <w:rFonts w:ascii="Times New Roman" w:eastAsia="Times New Roman" w:hAnsi="Times New Roman" w:cs="Times New Roman"/>
          <w:sz w:val="22"/>
          <w:szCs w:val="22"/>
        </w:rPr>
        <w:br/>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r>
    </w:p>
    <w:p w14:paraId="18636C5F"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JULIÁN DAVID RODRÍGUEZ SASTOQUE</w:t>
      </w:r>
    </w:p>
    <w:p w14:paraId="18636C60" w14:textId="77777777" w:rsidR="00123B2F" w:rsidRDefault="003C3CEE">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Concejal de Bogotá D.C.</w:t>
      </w:r>
    </w:p>
    <w:p w14:paraId="18636C61" w14:textId="77777777" w:rsidR="00123B2F" w:rsidRDefault="003C3CEE">
      <w:pPr>
        <w:jc w:val="both"/>
        <w:rPr>
          <w:rFonts w:ascii="Times New Roman" w:eastAsia="Times New Roman" w:hAnsi="Times New Roman" w:cs="Times New Roman"/>
          <w:sz w:val="22"/>
          <w:szCs w:val="22"/>
        </w:rPr>
      </w:pPr>
      <w:bookmarkStart w:id="1" w:name="_heading=h.gjdgxs" w:colFirst="0" w:colLast="0"/>
      <w:bookmarkEnd w:id="1"/>
      <w:r>
        <w:rPr>
          <w:rFonts w:ascii="Times New Roman" w:eastAsia="Times New Roman" w:hAnsi="Times New Roman" w:cs="Times New Roman"/>
          <w:sz w:val="22"/>
          <w:szCs w:val="22"/>
        </w:rPr>
        <w:t>Partido Alianza Verde.</w:t>
      </w:r>
    </w:p>
    <w:p w14:paraId="18636C62" w14:textId="77777777" w:rsidR="00123B2F" w:rsidRDefault="00123B2F">
      <w:pPr>
        <w:jc w:val="both"/>
        <w:rPr>
          <w:rFonts w:ascii="Times New Roman" w:eastAsia="Times New Roman" w:hAnsi="Times New Roman" w:cs="Times New Roman"/>
          <w:sz w:val="22"/>
          <w:szCs w:val="22"/>
        </w:rPr>
      </w:pPr>
      <w:bookmarkStart w:id="2" w:name="_heading=h.lvlvnk2anw23" w:colFirst="0" w:colLast="0"/>
      <w:bookmarkEnd w:id="2"/>
    </w:p>
    <w:p w14:paraId="18636C63" w14:textId="77777777" w:rsidR="00123B2F" w:rsidRDefault="00123B2F">
      <w:pPr>
        <w:jc w:val="both"/>
        <w:rPr>
          <w:rFonts w:ascii="Times New Roman" w:eastAsia="Times New Roman" w:hAnsi="Times New Roman" w:cs="Times New Roman"/>
          <w:sz w:val="22"/>
          <w:szCs w:val="22"/>
        </w:rPr>
      </w:pPr>
      <w:bookmarkStart w:id="3" w:name="_heading=h.4aca77naa1c8" w:colFirst="0" w:colLast="0"/>
      <w:bookmarkEnd w:id="3"/>
    </w:p>
    <w:p w14:paraId="18636C64" w14:textId="77777777" w:rsidR="00123B2F" w:rsidRDefault="00123B2F">
      <w:pPr>
        <w:jc w:val="both"/>
        <w:rPr>
          <w:rFonts w:ascii="Times New Roman" w:eastAsia="Times New Roman" w:hAnsi="Times New Roman" w:cs="Times New Roman"/>
          <w:sz w:val="22"/>
          <w:szCs w:val="22"/>
        </w:rPr>
      </w:pPr>
      <w:bookmarkStart w:id="4" w:name="_heading=h.p5uzi4b1fjg5" w:colFirst="0" w:colLast="0"/>
      <w:bookmarkEnd w:id="4"/>
    </w:p>
    <w:p w14:paraId="18636C65" w14:textId="77777777" w:rsidR="00123B2F" w:rsidRDefault="00123B2F">
      <w:pPr>
        <w:jc w:val="both"/>
        <w:rPr>
          <w:rFonts w:ascii="Times New Roman" w:eastAsia="Times New Roman" w:hAnsi="Times New Roman" w:cs="Times New Roman"/>
          <w:sz w:val="22"/>
          <w:szCs w:val="22"/>
        </w:rPr>
      </w:pPr>
      <w:bookmarkStart w:id="5" w:name="_heading=h.f18j3a3oz55i" w:colFirst="0" w:colLast="0"/>
      <w:bookmarkEnd w:id="5"/>
    </w:p>
    <w:p w14:paraId="18636C66" w14:textId="77777777" w:rsidR="00123B2F" w:rsidRDefault="00123B2F">
      <w:pPr>
        <w:jc w:val="both"/>
        <w:rPr>
          <w:rFonts w:ascii="Times New Roman" w:eastAsia="Times New Roman" w:hAnsi="Times New Roman" w:cs="Times New Roman"/>
          <w:sz w:val="22"/>
          <w:szCs w:val="22"/>
        </w:rPr>
      </w:pPr>
      <w:bookmarkStart w:id="6" w:name="_heading=h.6qm3cmw3xiub" w:colFirst="0" w:colLast="0"/>
      <w:bookmarkEnd w:id="6"/>
    </w:p>
    <w:p w14:paraId="18636C67" w14:textId="77777777" w:rsidR="00123B2F" w:rsidRDefault="00123B2F">
      <w:pPr>
        <w:jc w:val="both"/>
        <w:rPr>
          <w:rFonts w:ascii="Times New Roman" w:eastAsia="Times New Roman" w:hAnsi="Times New Roman" w:cs="Times New Roman"/>
          <w:sz w:val="22"/>
          <w:szCs w:val="22"/>
        </w:rPr>
      </w:pPr>
      <w:bookmarkStart w:id="7" w:name="_heading=h.wxvgneu5vpku" w:colFirst="0" w:colLast="0"/>
      <w:bookmarkEnd w:id="7"/>
    </w:p>
    <w:p w14:paraId="18636C68" w14:textId="77777777" w:rsidR="00123B2F" w:rsidRDefault="00123B2F">
      <w:pPr>
        <w:jc w:val="both"/>
        <w:rPr>
          <w:rFonts w:ascii="Times New Roman" w:eastAsia="Times New Roman" w:hAnsi="Times New Roman" w:cs="Times New Roman"/>
          <w:sz w:val="22"/>
          <w:szCs w:val="22"/>
        </w:rPr>
      </w:pPr>
      <w:bookmarkStart w:id="8" w:name="_heading=h.wh2226ipfmqb" w:colFirst="0" w:colLast="0"/>
      <w:bookmarkEnd w:id="8"/>
    </w:p>
    <w:p w14:paraId="18636C69" w14:textId="77777777" w:rsidR="00123B2F" w:rsidRDefault="00123B2F">
      <w:pPr>
        <w:jc w:val="both"/>
        <w:rPr>
          <w:rFonts w:ascii="Times New Roman" w:eastAsia="Times New Roman" w:hAnsi="Times New Roman" w:cs="Times New Roman"/>
          <w:sz w:val="22"/>
          <w:szCs w:val="22"/>
        </w:rPr>
      </w:pPr>
      <w:bookmarkStart w:id="9" w:name="_heading=h.voiyewbp754x" w:colFirst="0" w:colLast="0"/>
      <w:bookmarkEnd w:id="9"/>
    </w:p>
    <w:p w14:paraId="18636C6A" w14:textId="77777777" w:rsidR="00123B2F" w:rsidRDefault="00123B2F">
      <w:pPr>
        <w:jc w:val="both"/>
        <w:rPr>
          <w:rFonts w:ascii="Times New Roman" w:eastAsia="Times New Roman" w:hAnsi="Times New Roman" w:cs="Times New Roman"/>
          <w:sz w:val="22"/>
          <w:szCs w:val="22"/>
        </w:rPr>
      </w:pPr>
      <w:bookmarkStart w:id="10" w:name="_heading=h.dd5eqgyy8dzr" w:colFirst="0" w:colLast="0"/>
      <w:bookmarkEnd w:id="10"/>
    </w:p>
    <w:p w14:paraId="18636C6B" w14:textId="77777777" w:rsidR="00123B2F" w:rsidRDefault="00123B2F">
      <w:pPr>
        <w:jc w:val="both"/>
        <w:rPr>
          <w:rFonts w:ascii="Times New Roman" w:eastAsia="Times New Roman" w:hAnsi="Times New Roman" w:cs="Times New Roman"/>
          <w:sz w:val="22"/>
          <w:szCs w:val="22"/>
        </w:rPr>
      </w:pPr>
      <w:bookmarkStart w:id="11" w:name="_heading=h.25g1zm7uzv3f" w:colFirst="0" w:colLast="0"/>
      <w:bookmarkEnd w:id="11"/>
    </w:p>
    <w:p w14:paraId="18636C6C" w14:textId="77777777" w:rsidR="00123B2F" w:rsidRDefault="00123B2F">
      <w:pPr>
        <w:rPr>
          <w:rFonts w:ascii="Times New Roman" w:eastAsia="Times New Roman" w:hAnsi="Times New Roman" w:cs="Times New Roman"/>
          <w:b/>
          <w:sz w:val="22"/>
          <w:szCs w:val="22"/>
        </w:rPr>
      </w:pPr>
    </w:p>
    <w:p w14:paraId="18636C6D" w14:textId="77777777" w:rsidR="00123B2F" w:rsidRDefault="003C3CEE">
      <w:pPr>
        <w:jc w:val="center"/>
        <w:rPr>
          <w:rFonts w:ascii="Times New Roman" w:eastAsia="Times New Roman" w:hAnsi="Times New Roman" w:cs="Times New Roman"/>
          <w:b/>
          <w:color w:val="00B050"/>
          <w:sz w:val="22"/>
          <w:szCs w:val="22"/>
        </w:rPr>
      </w:pPr>
      <w:r>
        <w:rPr>
          <w:rFonts w:ascii="Times New Roman" w:eastAsia="Times New Roman" w:hAnsi="Times New Roman" w:cs="Times New Roman"/>
          <w:b/>
          <w:sz w:val="22"/>
          <w:szCs w:val="22"/>
        </w:rPr>
        <w:t>10. ARTICULADO</w:t>
      </w:r>
    </w:p>
    <w:p w14:paraId="18636C6E" w14:textId="77777777" w:rsidR="00123B2F" w:rsidRDefault="00123B2F">
      <w:pPr>
        <w:jc w:val="both"/>
        <w:rPr>
          <w:rFonts w:ascii="Times New Roman" w:eastAsia="Times New Roman" w:hAnsi="Times New Roman" w:cs="Times New Roman"/>
          <w:b/>
          <w:sz w:val="22"/>
          <w:szCs w:val="22"/>
        </w:rPr>
      </w:pPr>
    </w:p>
    <w:p w14:paraId="18636C6F" w14:textId="77777777" w:rsidR="00123B2F" w:rsidRDefault="003C3CEE">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PROYECTO DE ACUERDO No. _______ DE 2025</w:t>
      </w:r>
    </w:p>
    <w:p w14:paraId="18636C70" w14:textId="77777777" w:rsidR="00123B2F" w:rsidRDefault="003C3CEE">
      <w:pPr>
        <w:spacing w:before="240" w:line="276" w:lineRule="auto"/>
        <w:jc w:val="center"/>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“P</w:t>
      </w:r>
      <w:r>
        <w:rPr>
          <w:rFonts w:ascii="Times New Roman" w:eastAsia="Times New Roman" w:hAnsi="Times New Roman" w:cs="Times New Roman"/>
          <w:b/>
          <w:i/>
          <w:color w:val="000000"/>
          <w:sz w:val="22"/>
          <w:szCs w:val="22"/>
        </w:rPr>
        <w:t xml:space="preserve">OR MEDIO DEL CUAL SE ESTABLECEN MEDIDAS PARA RECONOCER Y FORTALECER LA </w:t>
      </w:r>
      <w:r>
        <w:rPr>
          <w:rFonts w:ascii="Times New Roman" w:eastAsia="Times New Roman" w:hAnsi="Times New Roman" w:cs="Times New Roman"/>
          <w:b/>
          <w:i/>
          <w:color w:val="000000"/>
          <w:sz w:val="22"/>
          <w:szCs w:val="22"/>
          <w:u w:val="single"/>
        </w:rPr>
        <w:t>INDUSTRIA PANIFICADORA</w:t>
      </w:r>
      <w:r>
        <w:rPr>
          <w:rFonts w:ascii="Times New Roman" w:eastAsia="Times New Roman" w:hAnsi="Times New Roman" w:cs="Times New Roman"/>
          <w:b/>
          <w:i/>
          <w:color w:val="000000"/>
          <w:sz w:val="22"/>
          <w:szCs w:val="22"/>
        </w:rPr>
        <w:t xml:space="preserve"> DEL DISTRITO CAPITAL Y SE DICTAN OTRAS DISPOSICIONES”</w:t>
      </w:r>
      <w:r>
        <w:rPr>
          <w:rFonts w:ascii="Times New Roman" w:eastAsia="Times New Roman" w:hAnsi="Times New Roman" w:cs="Times New Roman"/>
          <w:b/>
          <w:i/>
          <w:color w:val="000000"/>
          <w:sz w:val="22"/>
          <w:szCs w:val="22"/>
        </w:rPr>
        <w:t>.</w:t>
      </w:r>
    </w:p>
    <w:p w14:paraId="18636C71" w14:textId="77777777" w:rsidR="00123B2F" w:rsidRDefault="003C3CEE">
      <w:pPr>
        <w:spacing w:before="240" w:line="276" w:lineRule="auto"/>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EL CONCEJO DE BOGOTÁ D.C.</w:t>
      </w:r>
    </w:p>
    <w:p w14:paraId="18636C72" w14:textId="77777777" w:rsidR="00123B2F" w:rsidRDefault="003C3CEE">
      <w:pPr>
        <w:spacing w:before="240" w:line="276" w:lineRule="auto"/>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En ejercicio de las facultades que le confiere el artículo 313 de la Constitución Política de Colombia y el artículo 12 del Decreto Ley 1421 de 1993</w:t>
      </w:r>
    </w:p>
    <w:p w14:paraId="18636C73" w14:textId="77777777" w:rsidR="00123B2F" w:rsidRDefault="003C3CEE">
      <w:pPr>
        <w:spacing w:before="240" w:line="276" w:lineRule="auto"/>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ACU</w:t>
      </w:r>
      <w:r>
        <w:rPr>
          <w:rFonts w:ascii="Times New Roman" w:eastAsia="Times New Roman" w:hAnsi="Times New Roman" w:cs="Times New Roman"/>
          <w:b/>
          <w:color w:val="000000"/>
          <w:sz w:val="22"/>
          <w:szCs w:val="22"/>
        </w:rPr>
        <w:t>ERDA:</w:t>
      </w:r>
    </w:p>
    <w:p w14:paraId="18636C74" w14:textId="77777777" w:rsidR="00123B2F" w:rsidRDefault="003C3CEE">
      <w:pPr>
        <w:spacing w:before="240" w:after="240"/>
        <w:jc w:val="both"/>
        <w:rPr>
          <w:rFonts w:ascii="Times New Roman" w:eastAsia="Times New Roman" w:hAnsi="Times New Roman" w:cs="Times New Roman"/>
          <w:color w:val="000000"/>
          <w:sz w:val="22"/>
          <w:szCs w:val="22"/>
          <w:highlight w:val="yellow"/>
        </w:rPr>
      </w:pPr>
      <w:r>
        <w:rPr>
          <w:rFonts w:ascii="Times New Roman" w:eastAsia="Times New Roman" w:hAnsi="Times New Roman" w:cs="Times New Roman"/>
          <w:b/>
          <w:color w:val="000000"/>
          <w:sz w:val="22"/>
          <w:szCs w:val="22"/>
        </w:rPr>
        <w:t>ARTÍCULO 1°. OBJETO</w:t>
      </w:r>
      <w:r>
        <w:rPr>
          <w:rFonts w:ascii="Times New Roman" w:eastAsia="Times New Roman" w:hAnsi="Times New Roman" w:cs="Times New Roman"/>
          <w:color w:val="000000"/>
          <w:sz w:val="22"/>
          <w:szCs w:val="22"/>
        </w:rPr>
        <w:t>. El presente Acuerdo tiene por objeto reconocer y fortalecer la industria panificadora de Bogotá D. C. como uno de los sectores claves de la economía de la ciudad que contribuye en la lucha contra el hambre y la desnutrición, la g</w:t>
      </w:r>
      <w:r>
        <w:rPr>
          <w:rFonts w:ascii="Times New Roman" w:eastAsia="Times New Roman" w:hAnsi="Times New Roman" w:cs="Times New Roman"/>
          <w:color w:val="000000"/>
          <w:sz w:val="22"/>
          <w:szCs w:val="22"/>
        </w:rPr>
        <w:t>eneración de empleo y la economía popular, por medio de medidas que dignifiquen la labor de todos los actores de la cadena productiva.</w:t>
      </w:r>
    </w:p>
    <w:p w14:paraId="18636C75"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ARTÍCULO 2º. INCENTIVOS PARA LA INDUSTRIA PANIFICADORA. </w:t>
      </w:r>
      <w:r>
        <w:rPr>
          <w:rFonts w:ascii="Times New Roman" w:eastAsia="Times New Roman" w:hAnsi="Times New Roman" w:cs="Times New Roman"/>
          <w:color w:val="000000"/>
          <w:sz w:val="22"/>
          <w:szCs w:val="22"/>
        </w:rPr>
        <w:t>La Administración Distrital, en cabeza del Sector de Desarrollo E</w:t>
      </w:r>
      <w:r>
        <w:rPr>
          <w:rFonts w:ascii="Times New Roman" w:eastAsia="Times New Roman" w:hAnsi="Times New Roman" w:cs="Times New Roman"/>
          <w:color w:val="000000"/>
          <w:sz w:val="22"/>
          <w:szCs w:val="22"/>
        </w:rPr>
        <w:t xml:space="preserve">conómico, ofrecerá de forma permanente </w:t>
      </w:r>
      <w:r>
        <w:rPr>
          <w:rFonts w:ascii="Times New Roman" w:eastAsia="Times New Roman" w:hAnsi="Times New Roman" w:cs="Times New Roman"/>
          <w:i/>
          <w:color w:val="000000"/>
          <w:sz w:val="22"/>
          <w:szCs w:val="22"/>
        </w:rPr>
        <w:t>incentivos, estímulos y fomento</w:t>
      </w:r>
      <w:r>
        <w:rPr>
          <w:rFonts w:ascii="Times New Roman" w:eastAsia="Times New Roman" w:hAnsi="Times New Roman" w:cs="Times New Roman"/>
          <w:color w:val="000000"/>
          <w:sz w:val="22"/>
          <w:szCs w:val="22"/>
        </w:rPr>
        <w:t xml:space="preserve"> para las personas naturales y jurídicas domiciliadas en Bogotá D.C, que desarrollen actividades vinculadas con la cadena de producción del pan, con el fin de impulsar la generación de e</w:t>
      </w:r>
      <w:r>
        <w:rPr>
          <w:rFonts w:ascii="Times New Roman" w:eastAsia="Times New Roman" w:hAnsi="Times New Roman" w:cs="Times New Roman"/>
          <w:color w:val="000000"/>
          <w:sz w:val="22"/>
          <w:szCs w:val="22"/>
        </w:rPr>
        <w:t>mpleo, la productividad, la innovación y el consumo local. Lo anterior, respetando los principios de responsabilidad fiscal y disponibilidad financiera.</w:t>
      </w:r>
    </w:p>
    <w:p w14:paraId="18636C76"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Parágrafo 1.</w:t>
      </w:r>
      <w:r>
        <w:rPr>
          <w:rFonts w:ascii="Times New Roman" w:eastAsia="Times New Roman" w:hAnsi="Times New Roman" w:cs="Times New Roman"/>
          <w:color w:val="000000"/>
          <w:sz w:val="22"/>
          <w:szCs w:val="22"/>
        </w:rPr>
        <w:t xml:space="preserve">  En la definición y el otorgamiento de estos incentivos, estímulos y fomento se propenderá</w:t>
      </w:r>
      <w:r>
        <w:rPr>
          <w:rFonts w:ascii="Times New Roman" w:eastAsia="Times New Roman" w:hAnsi="Times New Roman" w:cs="Times New Roman"/>
          <w:color w:val="000000"/>
          <w:sz w:val="22"/>
          <w:szCs w:val="22"/>
        </w:rPr>
        <w:t xml:space="preserve"> por priorizar a las personas naturales y jurídicas que le apuesten al primer empleo y la contratación de personas jóvenes, en los términos de la Ley Estatutaria 1622 de 2013 o la norma que la modifique o sustituya, así como de personas mayores.</w:t>
      </w:r>
    </w:p>
    <w:p w14:paraId="18636C77"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Parágrafo </w:t>
      </w:r>
      <w:r>
        <w:rPr>
          <w:rFonts w:ascii="Times New Roman" w:eastAsia="Times New Roman" w:hAnsi="Times New Roman" w:cs="Times New Roman"/>
          <w:b/>
          <w:color w:val="000000"/>
          <w:sz w:val="22"/>
          <w:szCs w:val="22"/>
        </w:rPr>
        <w:t xml:space="preserve">2. </w:t>
      </w:r>
      <w:r>
        <w:rPr>
          <w:rFonts w:ascii="Times New Roman" w:eastAsia="Times New Roman" w:hAnsi="Times New Roman" w:cs="Times New Roman"/>
          <w:color w:val="000000"/>
          <w:sz w:val="22"/>
          <w:szCs w:val="22"/>
        </w:rPr>
        <w:t>En la definición de los incentivos, estímulos y fomento de que trata el presente artículo se tendrán en cuenta las particularidades y necesidades que enfrenta cada tipo de empresa de la industria panificadora.</w:t>
      </w:r>
    </w:p>
    <w:p w14:paraId="18636C78"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ARTÍCULO 3º. GENERACIÓN DE EMPLEO. </w:t>
      </w:r>
      <w:r>
        <w:rPr>
          <w:rFonts w:ascii="Times New Roman" w:eastAsia="Times New Roman" w:hAnsi="Times New Roman" w:cs="Times New Roman"/>
          <w:color w:val="000000"/>
          <w:sz w:val="22"/>
          <w:szCs w:val="22"/>
        </w:rPr>
        <w:t>La Admin</w:t>
      </w:r>
      <w:r>
        <w:rPr>
          <w:rFonts w:ascii="Times New Roman" w:eastAsia="Times New Roman" w:hAnsi="Times New Roman" w:cs="Times New Roman"/>
          <w:color w:val="000000"/>
          <w:sz w:val="22"/>
          <w:szCs w:val="22"/>
        </w:rPr>
        <w:t xml:space="preserve">istración Distrital, en cabeza del Sector de Desarrollo Económico, diseñará e implementará de forma permanente planes, programas, </w:t>
      </w:r>
      <w:r>
        <w:rPr>
          <w:rFonts w:ascii="Times New Roman" w:eastAsia="Times New Roman" w:hAnsi="Times New Roman" w:cs="Times New Roman"/>
          <w:color w:val="000000"/>
          <w:sz w:val="22"/>
          <w:szCs w:val="22"/>
        </w:rPr>
        <w:lastRenderedPageBreak/>
        <w:t>proyectos y/o estrategias que apoyen la generación de empleo en la industria panificadora de la ciudad, dentro de los cuales s</w:t>
      </w:r>
      <w:r>
        <w:rPr>
          <w:rFonts w:ascii="Times New Roman" w:eastAsia="Times New Roman" w:hAnsi="Times New Roman" w:cs="Times New Roman"/>
          <w:color w:val="000000"/>
          <w:sz w:val="22"/>
          <w:szCs w:val="22"/>
        </w:rPr>
        <w:t>e podrá contemplar aportes a los costos asociados a la nómina de los nuevos empleos. Lo anterior, respetando los principios de responsabilidad fiscal y disponibilidad financiera.</w:t>
      </w:r>
    </w:p>
    <w:p w14:paraId="18636C79" w14:textId="77777777" w:rsidR="00123B2F" w:rsidRDefault="003C3CEE">
      <w:pPr>
        <w:spacing w:before="240" w:after="240"/>
        <w:jc w:val="both"/>
        <w:rPr>
          <w:rFonts w:ascii="Times New Roman" w:eastAsia="Times New Roman" w:hAnsi="Times New Roman" w:cs="Times New Roman"/>
          <w:color w:val="000000"/>
          <w:sz w:val="22"/>
          <w:szCs w:val="22"/>
          <w:highlight w:val="yellow"/>
        </w:rPr>
      </w:pPr>
      <w:r>
        <w:rPr>
          <w:rFonts w:ascii="Times New Roman" w:eastAsia="Times New Roman" w:hAnsi="Times New Roman" w:cs="Times New Roman"/>
          <w:b/>
          <w:color w:val="000000"/>
          <w:sz w:val="22"/>
          <w:szCs w:val="22"/>
        </w:rPr>
        <w:t xml:space="preserve">Parágrafo. </w:t>
      </w:r>
      <w:r>
        <w:rPr>
          <w:rFonts w:ascii="Times New Roman" w:eastAsia="Times New Roman" w:hAnsi="Times New Roman" w:cs="Times New Roman"/>
          <w:color w:val="000000"/>
          <w:sz w:val="22"/>
          <w:szCs w:val="22"/>
        </w:rPr>
        <w:t xml:space="preserve">La Administración Distrital tendrá en cuenta las particularidades </w:t>
      </w:r>
      <w:r>
        <w:rPr>
          <w:rFonts w:ascii="Times New Roman" w:eastAsia="Times New Roman" w:hAnsi="Times New Roman" w:cs="Times New Roman"/>
          <w:color w:val="000000"/>
          <w:sz w:val="22"/>
          <w:szCs w:val="22"/>
        </w:rPr>
        <w:t xml:space="preserve">y necesidades del sector panificador en la definición de estos planes, programas, proyectos y/o estrategias. </w:t>
      </w:r>
    </w:p>
    <w:p w14:paraId="18636C7A"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ARTÍCULO 4º. CAPACITACIÓN Y ASISTENCIA TÉCNICA. </w:t>
      </w:r>
      <w:r>
        <w:rPr>
          <w:rFonts w:ascii="Times New Roman" w:eastAsia="Times New Roman" w:hAnsi="Times New Roman" w:cs="Times New Roman"/>
          <w:color w:val="000000"/>
          <w:sz w:val="22"/>
          <w:szCs w:val="22"/>
        </w:rPr>
        <w:t>La Administración Distrital, en cabeza del Sector de Desarrollo Económico, realizará periódicament</w:t>
      </w:r>
      <w:r>
        <w:rPr>
          <w:rFonts w:ascii="Times New Roman" w:eastAsia="Times New Roman" w:hAnsi="Times New Roman" w:cs="Times New Roman"/>
          <w:color w:val="000000"/>
          <w:sz w:val="22"/>
          <w:szCs w:val="22"/>
        </w:rPr>
        <w:t xml:space="preserve">e jornadas de capacitación en diferentes modalidades para los actores de la cadena productiva del pan de la ciudad, dentro de las cuales se propenderá por incluir contenidos sobre innovación, </w:t>
      </w:r>
      <w:r>
        <w:rPr>
          <w:rFonts w:ascii="Times New Roman" w:eastAsia="Times New Roman" w:hAnsi="Times New Roman" w:cs="Times New Roman"/>
          <w:i/>
          <w:color w:val="000000"/>
          <w:sz w:val="22"/>
          <w:szCs w:val="22"/>
        </w:rPr>
        <w:t>foodtech</w:t>
      </w:r>
      <w:r>
        <w:rPr>
          <w:rFonts w:ascii="Times New Roman" w:eastAsia="Times New Roman" w:hAnsi="Times New Roman" w:cs="Times New Roman"/>
          <w:color w:val="000000"/>
          <w:sz w:val="22"/>
          <w:szCs w:val="22"/>
        </w:rPr>
        <w:t xml:space="preserve">, </w:t>
      </w:r>
      <w:r>
        <w:rPr>
          <w:rFonts w:ascii="Times New Roman" w:eastAsia="Times New Roman" w:hAnsi="Times New Roman" w:cs="Times New Roman"/>
          <w:i/>
          <w:color w:val="000000"/>
          <w:sz w:val="22"/>
          <w:szCs w:val="22"/>
        </w:rPr>
        <w:t>e-commerce</w:t>
      </w:r>
      <w:r>
        <w:rPr>
          <w:rFonts w:ascii="Times New Roman" w:eastAsia="Times New Roman" w:hAnsi="Times New Roman" w:cs="Times New Roman"/>
          <w:color w:val="000000"/>
          <w:sz w:val="22"/>
          <w:szCs w:val="22"/>
        </w:rPr>
        <w:t xml:space="preserve">, servicio al cliente, </w:t>
      </w:r>
      <w:r>
        <w:rPr>
          <w:rFonts w:ascii="Times New Roman" w:eastAsia="Times New Roman" w:hAnsi="Times New Roman" w:cs="Times New Roman"/>
          <w:i/>
          <w:color w:val="000000"/>
          <w:sz w:val="22"/>
          <w:szCs w:val="22"/>
        </w:rPr>
        <w:t>fintech</w:t>
      </w:r>
      <w:r>
        <w:rPr>
          <w:rFonts w:ascii="Times New Roman" w:eastAsia="Times New Roman" w:hAnsi="Times New Roman" w:cs="Times New Roman"/>
          <w:color w:val="000000"/>
          <w:sz w:val="22"/>
          <w:szCs w:val="22"/>
        </w:rPr>
        <w:t>, entre otros.</w:t>
      </w:r>
    </w:p>
    <w:p w14:paraId="18636C7B"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También prestará de forma permanente y gratuita servicios presenciales y virtuales de asistencia técnica para las personas que decidan emprender o hayan emprendido en el sector panificador con el fin de apoyar su constitución, formalización y fortalecimie</w:t>
      </w:r>
      <w:r>
        <w:rPr>
          <w:rFonts w:ascii="Times New Roman" w:eastAsia="Times New Roman" w:hAnsi="Times New Roman" w:cs="Times New Roman"/>
          <w:color w:val="000000"/>
          <w:sz w:val="22"/>
          <w:szCs w:val="22"/>
        </w:rPr>
        <w:t>nto.</w:t>
      </w:r>
    </w:p>
    <w:p w14:paraId="18636C7C" w14:textId="77777777" w:rsidR="00123B2F" w:rsidRDefault="003C3CEE">
      <w:pPr>
        <w:spacing w:before="240" w:after="240"/>
        <w:jc w:val="both"/>
        <w:rPr>
          <w:rFonts w:ascii="Times New Roman" w:eastAsia="Times New Roman" w:hAnsi="Times New Roman" w:cs="Times New Roman"/>
          <w:color w:val="000000"/>
          <w:sz w:val="22"/>
          <w:szCs w:val="22"/>
          <w:highlight w:val="yellow"/>
        </w:rPr>
      </w:pPr>
      <w:r>
        <w:rPr>
          <w:rFonts w:ascii="Times New Roman" w:eastAsia="Times New Roman" w:hAnsi="Times New Roman" w:cs="Times New Roman"/>
          <w:b/>
          <w:color w:val="000000"/>
          <w:sz w:val="22"/>
          <w:szCs w:val="22"/>
        </w:rPr>
        <w:t xml:space="preserve">ARTÍCULO 5°. INVESTIGACIÓN, DESARROLLO E INNOVACIÓN. </w:t>
      </w:r>
      <w:r>
        <w:rPr>
          <w:rFonts w:ascii="Times New Roman" w:eastAsia="Times New Roman" w:hAnsi="Times New Roman" w:cs="Times New Roman"/>
          <w:color w:val="000000"/>
          <w:sz w:val="22"/>
          <w:szCs w:val="22"/>
        </w:rPr>
        <w:t xml:space="preserve">La Administración Distrital, en cabeza de la Secretaría de Educación del Distrito en coordinación con la Agencia Distrital para la Educación Superior, la Ciencia y la Tecnología (ATENEA), impulsará </w:t>
      </w:r>
      <w:r>
        <w:rPr>
          <w:rFonts w:ascii="Times New Roman" w:eastAsia="Times New Roman" w:hAnsi="Times New Roman" w:cs="Times New Roman"/>
          <w:color w:val="000000"/>
          <w:sz w:val="22"/>
          <w:szCs w:val="22"/>
        </w:rPr>
        <w:t>y apoyará la ejecución de proyectos de investigación, desarrollo e innovación que propenden por la incorporación de nuevas tecnologías y la innovación en la industria panificadora. Lo anterior, en articulación con la academia y el sector productivo de la c</w:t>
      </w:r>
      <w:r>
        <w:rPr>
          <w:rFonts w:ascii="Times New Roman" w:eastAsia="Times New Roman" w:hAnsi="Times New Roman" w:cs="Times New Roman"/>
          <w:color w:val="000000"/>
          <w:sz w:val="22"/>
          <w:szCs w:val="22"/>
        </w:rPr>
        <w:t>iudad.</w:t>
      </w:r>
    </w:p>
    <w:p w14:paraId="18636C7D"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ARTÍCULO 6°. NUTRICIÓN Y SALUD. </w:t>
      </w:r>
      <w:r>
        <w:rPr>
          <w:rFonts w:ascii="Times New Roman" w:eastAsia="Times New Roman" w:hAnsi="Times New Roman" w:cs="Times New Roman"/>
          <w:color w:val="000000"/>
          <w:sz w:val="22"/>
          <w:szCs w:val="22"/>
        </w:rPr>
        <w:t>La Administración Distrital, en cabeza de la Secretaría Distrital de Salud, ofertará periódicamente capacitaciones a los actores involucrados en la cadena productiva del pan y otros productos de panadería, promoviendo</w:t>
      </w:r>
      <w:r>
        <w:rPr>
          <w:rFonts w:ascii="Times New Roman" w:eastAsia="Times New Roman" w:hAnsi="Times New Roman" w:cs="Times New Roman"/>
          <w:color w:val="000000"/>
          <w:sz w:val="22"/>
          <w:szCs w:val="22"/>
        </w:rPr>
        <w:t xml:space="preserve"> el uso de ingredientes, recetas y métodos de producción que aumenten su valor nutricional, contribuyendo así en la lucha contra la desnutrición.</w:t>
      </w:r>
    </w:p>
    <w:p w14:paraId="18636C7E"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ARTÍCULO 7°. PANADERÍAS COMO ENTORNOS SEGUROS (PES). </w:t>
      </w:r>
      <w:r>
        <w:rPr>
          <w:rFonts w:ascii="Times New Roman" w:eastAsia="Times New Roman" w:hAnsi="Times New Roman" w:cs="Times New Roman"/>
          <w:color w:val="000000"/>
          <w:sz w:val="22"/>
          <w:szCs w:val="22"/>
        </w:rPr>
        <w:t>La Administración Distrital, en cabeza de la Secretaría D</w:t>
      </w:r>
      <w:r>
        <w:rPr>
          <w:rFonts w:ascii="Times New Roman" w:eastAsia="Times New Roman" w:hAnsi="Times New Roman" w:cs="Times New Roman"/>
          <w:color w:val="000000"/>
          <w:sz w:val="22"/>
          <w:szCs w:val="22"/>
        </w:rPr>
        <w:t xml:space="preserve">istrital de Seguridad, Convivencia y Justicia, realizará las gestiones necesarias para constituir la “Red de Seguridad Ciudadana del Pan”, con el fin de articular a todos los actores de la cadena productiva y comercial con la Administración Distrital y la </w:t>
      </w:r>
      <w:r>
        <w:rPr>
          <w:rFonts w:ascii="Times New Roman" w:eastAsia="Times New Roman" w:hAnsi="Times New Roman" w:cs="Times New Roman"/>
          <w:color w:val="000000"/>
          <w:sz w:val="22"/>
          <w:szCs w:val="22"/>
        </w:rPr>
        <w:t xml:space="preserve">Policía Metropolitana de Bogotá, con el propósito de adelantar acciones de prevención, capacitación y mitigación de las las conductas delictivas que afectan a los establecimientos de comercio y las empresas vinculadas a la industria panificadora. </w:t>
      </w:r>
    </w:p>
    <w:p w14:paraId="18636C7F"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En el ma</w:t>
      </w:r>
      <w:r>
        <w:rPr>
          <w:rFonts w:ascii="Times New Roman" w:eastAsia="Times New Roman" w:hAnsi="Times New Roman" w:cs="Times New Roman"/>
          <w:color w:val="000000"/>
          <w:sz w:val="22"/>
          <w:szCs w:val="22"/>
        </w:rPr>
        <w:t>rco de esta “Red de Seguridad Ciudadana del Pan”, se propenderá por realizar la dotación de recursos tecnológicos para los establecimientos de comercio y las empresas, la comunicación permanente y en tiempo real con el Centro de Comando, Control, Comunicac</w:t>
      </w:r>
      <w:r>
        <w:rPr>
          <w:rFonts w:ascii="Times New Roman" w:eastAsia="Times New Roman" w:hAnsi="Times New Roman" w:cs="Times New Roman"/>
          <w:color w:val="000000"/>
          <w:sz w:val="22"/>
          <w:szCs w:val="22"/>
        </w:rPr>
        <w:t xml:space="preserve">iones y Cómputo (C4) </w:t>
      </w:r>
      <w:r>
        <w:rPr>
          <w:rFonts w:ascii="Times New Roman" w:eastAsia="Times New Roman" w:hAnsi="Times New Roman" w:cs="Times New Roman"/>
          <w:color w:val="000000"/>
          <w:sz w:val="22"/>
          <w:szCs w:val="22"/>
        </w:rPr>
        <w:lastRenderedPageBreak/>
        <w:t>de la Policía Metropolitana de Bogotá (MEBOG), así como otras estrategias para la prevención, atención y judicialización de las conductas punibles cometidas en contra los actores de la cadena productiva del pan.</w:t>
      </w:r>
    </w:p>
    <w:p w14:paraId="18636C80" w14:textId="77777777" w:rsidR="00123B2F" w:rsidRDefault="00123B2F">
      <w:pPr>
        <w:spacing w:before="240" w:after="240"/>
        <w:jc w:val="both"/>
        <w:rPr>
          <w:rFonts w:ascii="Times New Roman" w:eastAsia="Times New Roman" w:hAnsi="Times New Roman" w:cs="Times New Roman"/>
          <w:b/>
          <w:sz w:val="22"/>
          <w:szCs w:val="22"/>
        </w:rPr>
      </w:pPr>
    </w:p>
    <w:p w14:paraId="18636C81" w14:textId="77777777" w:rsidR="00123B2F" w:rsidRDefault="003C3CEE">
      <w:pPr>
        <w:spacing w:before="240" w:after="240"/>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Parágrafo. </w:t>
      </w:r>
      <w:r>
        <w:rPr>
          <w:rFonts w:ascii="Times New Roman" w:eastAsia="Times New Roman" w:hAnsi="Times New Roman" w:cs="Times New Roman"/>
          <w:sz w:val="22"/>
          <w:szCs w:val="22"/>
        </w:rPr>
        <w:t>La Secretar</w:t>
      </w:r>
      <w:r>
        <w:rPr>
          <w:rFonts w:ascii="Times New Roman" w:eastAsia="Times New Roman" w:hAnsi="Times New Roman" w:cs="Times New Roman"/>
          <w:sz w:val="22"/>
          <w:szCs w:val="22"/>
        </w:rPr>
        <w:t>ía Distrital de Seguridad, Convivencia y Justicia realizará pedagogía a los actores de la cadena productiva y comercial panificadora sobre las características, requisitos y beneficios de pertenecer a esquemas de zonas seguras, redes del cuidado, o la figur</w:t>
      </w:r>
      <w:r>
        <w:rPr>
          <w:rFonts w:ascii="Times New Roman" w:eastAsia="Times New Roman" w:hAnsi="Times New Roman" w:cs="Times New Roman"/>
          <w:sz w:val="22"/>
          <w:szCs w:val="22"/>
        </w:rPr>
        <w:t>a que haga sus veces.</w:t>
      </w:r>
      <w:r>
        <w:rPr>
          <w:rFonts w:ascii="Times New Roman" w:eastAsia="Times New Roman" w:hAnsi="Times New Roman" w:cs="Times New Roman"/>
          <w:sz w:val="22"/>
          <w:szCs w:val="22"/>
        </w:rPr>
        <w:br/>
      </w:r>
    </w:p>
    <w:p w14:paraId="18636C82"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ARTÍCULO 8°. INSPECCIÓN, VIGILANCIA Y CONTROL. </w:t>
      </w:r>
      <w:r>
        <w:rPr>
          <w:rFonts w:ascii="Times New Roman" w:eastAsia="Times New Roman" w:hAnsi="Times New Roman" w:cs="Times New Roman"/>
          <w:color w:val="000000"/>
          <w:sz w:val="22"/>
          <w:szCs w:val="22"/>
        </w:rPr>
        <w:t>La Administración Distrital, en cabeza de la Secretaría Distrital de Gobierno y en coordinación con la Secretaría Distrital de Salud y las alcaldías locales, promoverá programas de acomp</w:t>
      </w:r>
      <w:r>
        <w:rPr>
          <w:rFonts w:ascii="Times New Roman" w:eastAsia="Times New Roman" w:hAnsi="Times New Roman" w:cs="Times New Roman"/>
          <w:color w:val="000000"/>
          <w:sz w:val="22"/>
          <w:szCs w:val="22"/>
        </w:rPr>
        <w:t>añamiento permanente para los establecimientos y empresas pertenecientes a la cadena productiva del pan, dirigidos a prevenir eventuales procedimientos administrativos y sanciones, así como a promover y sensibilizar frente al cumplimiento de las medidas sa</w:t>
      </w:r>
      <w:r>
        <w:rPr>
          <w:rFonts w:ascii="Times New Roman" w:eastAsia="Times New Roman" w:hAnsi="Times New Roman" w:cs="Times New Roman"/>
          <w:color w:val="000000"/>
          <w:sz w:val="22"/>
          <w:szCs w:val="22"/>
        </w:rPr>
        <w:t xml:space="preserve">nitarias en sus instalaciones, procesos de producción y productos, atendiendo a la satisfacción de los requerimientos de inspección, vigilancia y control definidos en la normatividad vigente. </w:t>
      </w:r>
    </w:p>
    <w:p w14:paraId="18636C83"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Parágrafo. </w:t>
      </w:r>
      <w:r>
        <w:rPr>
          <w:rFonts w:ascii="Times New Roman" w:eastAsia="Times New Roman" w:hAnsi="Times New Roman" w:cs="Times New Roman"/>
          <w:color w:val="000000"/>
          <w:sz w:val="22"/>
          <w:szCs w:val="22"/>
        </w:rPr>
        <w:t>En el marco de la implementación del presente artícu</w:t>
      </w:r>
      <w:r>
        <w:rPr>
          <w:rFonts w:ascii="Times New Roman" w:eastAsia="Times New Roman" w:hAnsi="Times New Roman" w:cs="Times New Roman"/>
          <w:color w:val="000000"/>
          <w:sz w:val="22"/>
          <w:szCs w:val="22"/>
        </w:rPr>
        <w:t>lo, la Administración Distrital podrá diseñar e implementar estrategias comunicativas innovadoras y accesibles que les permitan a los actores de la industria panificadora identificar de forma clara y sencilla sus obligaciones en materia sanitaria.</w:t>
      </w:r>
    </w:p>
    <w:p w14:paraId="18636C84"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ARTÍCULO</w:t>
      </w:r>
      <w:r>
        <w:rPr>
          <w:rFonts w:ascii="Times New Roman" w:eastAsia="Times New Roman" w:hAnsi="Times New Roman" w:cs="Times New Roman"/>
          <w:b/>
          <w:color w:val="000000"/>
          <w:sz w:val="22"/>
          <w:szCs w:val="22"/>
        </w:rPr>
        <w:t xml:space="preserve"> 9º. FESTIVAL DISTRITAL DEL PAN. </w:t>
      </w:r>
      <w:r>
        <w:rPr>
          <w:rFonts w:ascii="Times New Roman" w:eastAsia="Times New Roman" w:hAnsi="Times New Roman" w:cs="Times New Roman"/>
          <w:color w:val="000000"/>
          <w:sz w:val="22"/>
          <w:szCs w:val="22"/>
        </w:rPr>
        <w:t>Créase el Festival Distrital del Pan como un evento gastronómico anual que congregará y exaltará al gremio panificador de la ciudad, aportando a la visibilización de sus sabores ancestrales, valor cultural, nuevas técnicas,</w:t>
      </w:r>
      <w:r>
        <w:rPr>
          <w:rFonts w:ascii="Times New Roman" w:eastAsia="Times New Roman" w:hAnsi="Times New Roman" w:cs="Times New Roman"/>
          <w:color w:val="000000"/>
          <w:sz w:val="22"/>
          <w:szCs w:val="22"/>
        </w:rPr>
        <w:t xml:space="preserve"> productos, emprendimientos y empresas.</w:t>
      </w:r>
    </w:p>
    <w:p w14:paraId="18636C85"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Parágrafo 1. </w:t>
      </w:r>
      <w:r>
        <w:rPr>
          <w:rFonts w:ascii="Times New Roman" w:eastAsia="Times New Roman" w:hAnsi="Times New Roman" w:cs="Times New Roman"/>
          <w:color w:val="000000"/>
          <w:sz w:val="22"/>
          <w:szCs w:val="22"/>
        </w:rPr>
        <w:t xml:space="preserve">El Sector Desarrollo Económico, en coordinación con las demás entidades </w:t>
      </w:r>
      <w:r>
        <w:rPr>
          <w:rFonts w:ascii="Times New Roman" w:eastAsia="Times New Roman" w:hAnsi="Times New Roman" w:cs="Times New Roman"/>
          <w:color w:val="000000"/>
          <w:sz w:val="22"/>
          <w:szCs w:val="22"/>
          <w:u w:val="single"/>
        </w:rPr>
        <w:t>competentes</w:t>
      </w:r>
      <w:r>
        <w:rPr>
          <w:rFonts w:ascii="Times New Roman" w:eastAsia="Times New Roman" w:hAnsi="Times New Roman" w:cs="Times New Roman"/>
          <w:color w:val="000000"/>
          <w:sz w:val="22"/>
          <w:szCs w:val="22"/>
        </w:rPr>
        <w:t xml:space="preserve"> del Distrito, planeará y organizará anualmente este festival en alianza con el sector privado vinculado con la industria panificadora de la ciudad.</w:t>
      </w:r>
    </w:p>
    <w:p w14:paraId="18636C86"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Parágrafo 2. </w:t>
      </w:r>
      <w:r>
        <w:rPr>
          <w:rFonts w:ascii="Times New Roman" w:eastAsia="Times New Roman" w:hAnsi="Times New Roman" w:cs="Times New Roman"/>
          <w:color w:val="000000"/>
          <w:sz w:val="22"/>
          <w:szCs w:val="22"/>
        </w:rPr>
        <w:t>Para la realización del Festival Distrital del Pan se podrá contemplar la realización de festi</w:t>
      </w:r>
      <w:r>
        <w:rPr>
          <w:rFonts w:ascii="Times New Roman" w:eastAsia="Times New Roman" w:hAnsi="Times New Roman" w:cs="Times New Roman"/>
          <w:color w:val="000000"/>
          <w:sz w:val="22"/>
          <w:szCs w:val="22"/>
        </w:rPr>
        <w:t>vales previos en cada localidad de la ciudad con el fin de escoger a los y las representantes locales en el evento distrital.</w:t>
      </w:r>
    </w:p>
    <w:p w14:paraId="18636C87"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Parágrafo 3. </w:t>
      </w:r>
      <w:r>
        <w:rPr>
          <w:rFonts w:ascii="Times New Roman" w:eastAsia="Times New Roman" w:hAnsi="Times New Roman" w:cs="Times New Roman"/>
          <w:color w:val="000000"/>
          <w:sz w:val="22"/>
          <w:szCs w:val="22"/>
        </w:rPr>
        <w:t xml:space="preserve">El Sector Desarrollo Económico en coordinación con las demás entidades competentes divulgará masivamente a través de </w:t>
      </w:r>
      <w:r>
        <w:rPr>
          <w:rFonts w:ascii="Times New Roman" w:eastAsia="Times New Roman" w:hAnsi="Times New Roman" w:cs="Times New Roman"/>
          <w:color w:val="000000"/>
          <w:sz w:val="22"/>
          <w:szCs w:val="22"/>
        </w:rPr>
        <w:t>estrategias innovadoras y accesibles la realización de este Festival Distrital del Pan.</w:t>
      </w:r>
    </w:p>
    <w:p w14:paraId="18636C88" w14:textId="77777777" w:rsidR="00123B2F" w:rsidRDefault="003C3CEE">
      <w:pPr>
        <w:spacing w:before="220" w:after="22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lastRenderedPageBreak/>
        <w:t xml:space="preserve">ARTÍCULO 10. PRODUCCIÓN MÁS LIMPIA. </w:t>
      </w:r>
      <w:r>
        <w:rPr>
          <w:rFonts w:ascii="Times New Roman" w:eastAsia="Times New Roman" w:hAnsi="Times New Roman" w:cs="Times New Roman"/>
          <w:color w:val="000000"/>
          <w:sz w:val="21"/>
          <w:szCs w:val="21"/>
        </w:rPr>
        <w:t>La Administración Distrital, en cabeza de la Secretaría Distrital de Ambiente en coordinación con las demás entidades competentes, pondrá a disposición de la industria panificadora y los actores involucrados en la cadena de producción, la oferta institucio</w:t>
      </w:r>
      <w:r>
        <w:rPr>
          <w:rFonts w:ascii="Times New Roman" w:eastAsia="Times New Roman" w:hAnsi="Times New Roman" w:cs="Times New Roman"/>
          <w:color w:val="000000"/>
          <w:sz w:val="21"/>
          <w:szCs w:val="21"/>
        </w:rPr>
        <w:t>nal vigente de acompañamiento para la gestión ambiental empresarial, con el fin de lograr procesos, productos y servicios que aumenten la eficiencia de recursos, disminuyan los desechos y las emisiones, reduzcan los impactos para el ambiente, contribuyendo</w:t>
      </w:r>
      <w:r>
        <w:rPr>
          <w:rFonts w:ascii="Times New Roman" w:eastAsia="Times New Roman" w:hAnsi="Times New Roman" w:cs="Times New Roman"/>
          <w:color w:val="000000"/>
          <w:sz w:val="21"/>
          <w:szCs w:val="21"/>
        </w:rPr>
        <w:t xml:space="preserve"> así a la transición a la economía circular.</w:t>
      </w:r>
    </w:p>
    <w:p w14:paraId="18636C89"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ARTÍCULO 11º. COMPRA LOCAL. </w:t>
      </w:r>
      <w:r>
        <w:rPr>
          <w:rFonts w:ascii="Times New Roman" w:eastAsia="Times New Roman" w:hAnsi="Times New Roman" w:cs="Times New Roman"/>
          <w:color w:val="000000"/>
          <w:sz w:val="22"/>
          <w:szCs w:val="22"/>
        </w:rPr>
        <w:t>La Administración Distrital realizará las gestiones necesarias para promover la compra de productos de la industria panificadora domiciliada en Bogotá D.C. para sus proyectos, eventos</w:t>
      </w:r>
      <w:r>
        <w:rPr>
          <w:rFonts w:ascii="Times New Roman" w:eastAsia="Times New Roman" w:hAnsi="Times New Roman" w:cs="Times New Roman"/>
          <w:color w:val="000000"/>
          <w:sz w:val="22"/>
          <w:szCs w:val="22"/>
        </w:rPr>
        <w:t xml:space="preserve"> y demás actividades, dentro de lo cual se podrá incluir las raciones alimenticias entregadas en jardines infantiles, Centros Amar, Centros Abrazar, Centros Forjar, Centros Sanar, Casas de Memoria y Lúdica, entre otros equipamientos públicos con enfoque so</w:t>
      </w:r>
      <w:r>
        <w:rPr>
          <w:rFonts w:ascii="Times New Roman" w:eastAsia="Times New Roman" w:hAnsi="Times New Roman" w:cs="Times New Roman"/>
          <w:color w:val="000000"/>
          <w:sz w:val="22"/>
          <w:szCs w:val="22"/>
        </w:rPr>
        <w:t>cial.</w:t>
      </w:r>
    </w:p>
    <w:p w14:paraId="18636C8A"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ARTÍCULO 12º. MESA DISTRITAL DEL PAN. </w:t>
      </w:r>
      <w:r>
        <w:rPr>
          <w:rFonts w:ascii="Times New Roman" w:eastAsia="Times New Roman" w:hAnsi="Times New Roman" w:cs="Times New Roman"/>
          <w:color w:val="000000"/>
          <w:sz w:val="22"/>
          <w:szCs w:val="22"/>
        </w:rPr>
        <w:t xml:space="preserve">Créase la Mesa Distrital del Pan con participación de la sociedad civil y el sector productivo como un órgano asesor, consultivo y articulador del Gobierno Distrital. Su misión será articular a todos los actores </w:t>
      </w:r>
      <w:r>
        <w:rPr>
          <w:rFonts w:ascii="Times New Roman" w:eastAsia="Times New Roman" w:hAnsi="Times New Roman" w:cs="Times New Roman"/>
          <w:color w:val="000000"/>
          <w:sz w:val="22"/>
          <w:szCs w:val="22"/>
        </w:rPr>
        <w:t xml:space="preserve">de la cadena productiva, coordinar la organización del Festival Distrital del Pan, proponer iniciativas para su fortalecimiento, visibilización y reconocimiento de la industria panificadora, así como consolidar a la ciudad como la capital del pan. </w:t>
      </w:r>
    </w:p>
    <w:p w14:paraId="18636C8B"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Parágra</w:t>
      </w:r>
      <w:r>
        <w:rPr>
          <w:rFonts w:ascii="Times New Roman" w:eastAsia="Times New Roman" w:hAnsi="Times New Roman" w:cs="Times New Roman"/>
          <w:b/>
          <w:color w:val="000000"/>
          <w:sz w:val="22"/>
          <w:szCs w:val="22"/>
        </w:rPr>
        <w:t xml:space="preserve">fo 1. </w:t>
      </w:r>
      <w:r>
        <w:rPr>
          <w:rFonts w:ascii="Times New Roman" w:eastAsia="Times New Roman" w:hAnsi="Times New Roman" w:cs="Times New Roman"/>
          <w:color w:val="000000"/>
          <w:sz w:val="22"/>
          <w:szCs w:val="22"/>
        </w:rPr>
        <w:t>La Mesa Distrital del Pan estará conformada por:</w:t>
      </w:r>
    </w:p>
    <w:p w14:paraId="18636C8C" w14:textId="77777777" w:rsidR="00123B2F" w:rsidRDefault="003C3CEE">
      <w:pPr>
        <w:numPr>
          <w:ilvl w:val="0"/>
          <w:numId w:val="1"/>
        </w:numPr>
        <w:spacing w:before="240" w:after="240"/>
        <w:ind w:left="283" w:hanging="283"/>
        <w:jc w:val="both"/>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Por la institucionalidad distrital:</w:t>
      </w:r>
    </w:p>
    <w:p w14:paraId="18636C8D"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a.1) </w:t>
      </w:r>
      <w:r>
        <w:rPr>
          <w:rFonts w:ascii="Times New Roman" w:eastAsia="Times New Roman" w:hAnsi="Times New Roman" w:cs="Times New Roman"/>
          <w:color w:val="000000"/>
          <w:sz w:val="22"/>
          <w:szCs w:val="22"/>
        </w:rPr>
        <w:t>Un delegado de la Secretaría Distrital de Gobierno.</w:t>
      </w:r>
    </w:p>
    <w:p w14:paraId="18636C8E"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a.2) </w:t>
      </w:r>
      <w:r>
        <w:rPr>
          <w:rFonts w:ascii="Times New Roman" w:eastAsia="Times New Roman" w:hAnsi="Times New Roman" w:cs="Times New Roman"/>
          <w:color w:val="000000"/>
          <w:sz w:val="22"/>
          <w:szCs w:val="22"/>
        </w:rPr>
        <w:t>Un delegado de la Secretaría Distrital de Desarrollo Económico.</w:t>
      </w:r>
    </w:p>
    <w:p w14:paraId="18636C8F"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a.3) </w:t>
      </w:r>
      <w:r>
        <w:rPr>
          <w:rFonts w:ascii="Times New Roman" w:eastAsia="Times New Roman" w:hAnsi="Times New Roman" w:cs="Times New Roman"/>
          <w:color w:val="000000"/>
          <w:sz w:val="22"/>
          <w:szCs w:val="22"/>
        </w:rPr>
        <w:t>Un delegado de la Secretaría de Ed</w:t>
      </w:r>
      <w:r>
        <w:rPr>
          <w:rFonts w:ascii="Times New Roman" w:eastAsia="Times New Roman" w:hAnsi="Times New Roman" w:cs="Times New Roman"/>
          <w:color w:val="000000"/>
          <w:sz w:val="22"/>
          <w:szCs w:val="22"/>
        </w:rPr>
        <w:t>ucación del Distrito.</w:t>
      </w:r>
    </w:p>
    <w:p w14:paraId="18636C90"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a.4).</w:t>
      </w:r>
      <w:r>
        <w:rPr>
          <w:rFonts w:ascii="Times New Roman" w:eastAsia="Times New Roman" w:hAnsi="Times New Roman" w:cs="Times New Roman"/>
          <w:color w:val="000000"/>
          <w:sz w:val="22"/>
          <w:szCs w:val="22"/>
        </w:rPr>
        <w:t xml:space="preserve"> Un delegado de la Secretaría Distrital de Salud.</w:t>
      </w:r>
    </w:p>
    <w:p w14:paraId="18636C91"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a.5)</w:t>
      </w:r>
      <w:r>
        <w:rPr>
          <w:rFonts w:ascii="Times New Roman" w:eastAsia="Times New Roman" w:hAnsi="Times New Roman" w:cs="Times New Roman"/>
          <w:color w:val="000000"/>
          <w:sz w:val="22"/>
          <w:szCs w:val="22"/>
        </w:rPr>
        <w:t xml:space="preserve"> Un delegado de la Secretaría Distrital de Seguridad, Convivencia y Justicia, quien convocará a la Policía Metropolitana de Bogotá.</w:t>
      </w:r>
    </w:p>
    <w:p w14:paraId="18636C92"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a.6) </w:t>
      </w:r>
      <w:r>
        <w:rPr>
          <w:rFonts w:ascii="Times New Roman" w:eastAsia="Times New Roman" w:hAnsi="Times New Roman" w:cs="Times New Roman"/>
          <w:color w:val="000000"/>
          <w:sz w:val="22"/>
          <w:szCs w:val="22"/>
        </w:rPr>
        <w:t>Un delegado de la Secretaría Distrital</w:t>
      </w:r>
      <w:r>
        <w:rPr>
          <w:rFonts w:ascii="Times New Roman" w:eastAsia="Times New Roman" w:hAnsi="Times New Roman" w:cs="Times New Roman"/>
          <w:color w:val="000000"/>
          <w:sz w:val="22"/>
          <w:szCs w:val="22"/>
        </w:rPr>
        <w:t xml:space="preserve"> de Ambiente.</w:t>
      </w:r>
    </w:p>
    <w:p w14:paraId="18636C93"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a.7) </w:t>
      </w:r>
      <w:r>
        <w:rPr>
          <w:rFonts w:ascii="Times New Roman" w:eastAsia="Times New Roman" w:hAnsi="Times New Roman" w:cs="Times New Roman"/>
          <w:color w:val="000000"/>
          <w:sz w:val="22"/>
          <w:szCs w:val="22"/>
        </w:rPr>
        <w:t>Un delegado de la Secretaría Distrital de Planeación.</w:t>
      </w:r>
    </w:p>
    <w:p w14:paraId="18636C94" w14:textId="77777777" w:rsidR="00123B2F" w:rsidRDefault="003C3CEE">
      <w:pPr>
        <w:numPr>
          <w:ilvl w:val="0"/>
          <w:numId w:val="1"/>
        </w:numPr>
        <w:spacing w:before="240" w:after="240"/>
        <w:ind w:left="283" w:hanging="283"/>
        <w:jc w:val="both"/>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Por la sociedad civil:</w:t>
      </w:r>
    </w:p>
    <w:p w14:paraId="18636C95"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lastRenderedPageBreak/>
        <w:t>b.1)</w:t>
      </w:r>
      <w:r>
        <w:rPr>
          <w:rFonts w:ascii="Times New Roman" w:eastAsia="Times New Roman" w:hAnsi="Times New Roman" w:cs="Times New Roman"/>
          <w:color w:val="000000"/>
          <w:sz w:val="22"/>
          <w:szCs w:val="22"/>
        </w:rPr>
        <w:t xml:space="preserve"> Un representante de la Asociación Nacional de Panaderos (Adepan).</w:t>
      </w:r>
    </w:p>
    <w:p w14:paraId="18636C96"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b.2)</w:t>
      </w:r>
      <w:r>
        <w:rPr>
          <w:rFonts w:ascii="Times New Roman" w:eastAsia="Times New Roman" w:hAnsi="Times New Roman" w:cs="Times New Roman"/>
          <w:color w:val="000000"/>
          <w:sz w:val="22"/>
          <w:szCs w:val="22"/>
        </w:rPr>
        <w:t xml:space="preserve"> Un representante de la Cámara Fedemol de la Asociación Nacional de Empresarios de Co</w:t>
      </w:r>
      <w:r>
        <w:rPr>
          <w:rFonts w:ascii="Times New Roman" w:eastAsia="Times New Roman" w:hAnsi="Times New Roman" w:cs="Times New Roman"/>
          <w:color w:val="000000"/>
          <w:sz w:val="22"/>
          <w:szCs w:val="22"/>
        </w:rPr>
        <w:t>lombia (ANDI).</w:t>
      </w:r>
    </w:p>
    <w:p w14:paraId="18636C97"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b.3) </w:t>
      </w:r>
      <w:r>
        <w:rPr>
          <w:rFonts w:ascii="Times New Roman" w:eastAsia="Times New Roman" w:hAnsi="Times New Roman" w:cs="Times New Roman"/>
          <w:color w:val="000000"/>
          <w:sz w:val="22"/>
          <w:szCs w:val="22"/>
        </w:rPr>
        <w:t>Dos representantes de los panaderos no afiliados a organizaciones gremiales.</w:t>
      </w:r>
    </w:p>
    <w:p w14:paraId="18636C98"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b.4)</w:t>
      </w:r>
      <w:r>
        <w:rPr>
          <w:rFonts w:ascii="Times New Roman" w:eastAsia="Times New Roman" w:hAnsi="Times New Roman" w:cs="Times New Roman"/>
          <w:color w:val="000000"/>
          <w:sz w:val="22"/>
          <w:szCs w:val="22"/>
        </w:rPr>
        <w:t xml:space="preserve"> Dos representantes de los consumidores.</w:t>
      </w:r>
    </w:p>
    <w:p w14:paraId="18636C99"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b.5)</w:t>
      </w:r>
      <w:r>
        <w:rPr>
          <w:rFonts w:ascii="Times New Roman" w:eastAsia="Times New Roman" w:hAnsi="Times New Roman" w:cs="Times New Roman"/>
          <w:color w:val="000000"/>
          <w:sz w:val="22"/>
          <w:szCs w:val="22"/>
        </w:rPr>
        <w:t xml:space="preserve"> Un representante de la academia.</w:t>
      </w:r>
    </w:p>
    <w:p w14:paraId="18636C9A"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Parágrafo 2. </w:t>
      </w:r>
      <w:r>
        <w:rPr>
          <w:rFonts w:ascii="Times New Roman" w:eastAsia="Times New Roman" w:hAnsi="Times New Roman" w:cs="Times New Roman"/>
          <w:color w:val="000000"/>
          <w:sz w:val="22"/>
          <w:szCs w:val="22"/>
        </w:rPr>
        <w:t>La Secretaría Técnica de la Mesa Distrital del Pan será ejercida por la Secretaría Distrital de Desarrollo Económico.</w:t>
      </w:r>
    </w:p>
    <w:p w14:paraId="18636C9B"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Parágrafo 3. </w:t>
      </w:r>
      <w:r>
        <w:rPr>
          <w:rFonts w:ascii="Times New Roman" w:eastAsia="Times New Roman" w:hAnsi="Times New Roman" w:cs="Times New Roman"/>
          <w:color w:val="000000"/>
          <w:sz w:val="22"/>
          <w:szCs w:val="22"/>
        </w:rPr>
        <w:t>Los representantes de la sociedad civil ante la Mesa Distrital del Pan se elegirán o designarán para un periodo de dos (2) añ</w:t>
      </w:r>
      <w:r>
        <w:rPr>
          <w:rFonts w:ascii="Times New Roman" w:eastAsia="Times New Roman" w:hAnsi="Times New Roman" w:cs="Times New Roman"/>
          <w:color w:val="000000"/>
          <w:sz w:val="22"/>
          <w:szCs w:val="22"/>
        </w:rPr>
        <w:t>os.</w:t>
      </w:r>
    </w:p>
    <w:p w14:paraId="18636C9C"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Parágrafo 4. </w:t>
      </w:r>
      <w:r>
        <w:rPr>
          <w:rFonts w:ascii="Times New Roman" w:eastAsia="Times New Roman" w:hAnsi="Times New Roman" w:cs="Times New Roman"/>
          <w:color w:val="000000"/>
          <w:sz w:val="22"/>
          <w:szCs w:val="22"/>
        </w:rPr>
        <w:t>Dentro de los tres (3) meses siguientes a su entrada en funcionamiento la Mesa Distrital del Pan expedirá su reglamento interno con el acompañamiento del Instituto Distrital para la Participación y Acción Comunal (IDPAC).</w:t>
      </w:r>
    </w:p>
    <w:p w14:paraId="18636C9D"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ARTÍCULO 13°. INF</w:t>
      </w:r>
      <w:r>
        <w:rPr>
          <w:rFonts w:ascii="Times New Roman" w:eastAsia="Times New Roman" w:hAnsi="Times New Roman" w:cs="Times New Roman"/>
          <w:b/>
          <w:color w:val="000000"/>
          <w:sz w:val="22"/>
          <w:szCs w:val="22"/>
        </w:rPr>
        <w:t xml:space="preserve">ORMES. </w:t>
      </w:r>
      <w:r>
        <w:rPr>
          <w:rFonts w:ascii="Times New Roman" w:eastAsia="Times New Roman" w:hAnsi="Times New Roman" w:cs="Times New Roman"/>
          <w:color w:val="000000"/>
          <w:sz w:val="22"/>
          <w:szCs w:val="22"/>
        </w:rPr>
        <w:t>El 16 de octubre de cada año, en el marco del Día Mundial del Pan, las entidades responsables de la implementación de este Acuerdo, en cabeza de la Secretaría Distrital de Desarrollo Económico, presentarán ante el Concejo de Bogotá D.C. un informe d</w:t>
      </w:r>
      <w:r>
        <w:rPr>
          <w:rFonts w:ascii="Times New Roman" w:eastAsia="Times New Roman" w:hAnsi="Times New Roman" w:cs="Times New Roman"/>
          <w:color w:val="000000"/>
          <w:sz w:val="22"/>
          <w:szCs w:val="22"/>
        </w:rPr>
        <w:t>e gestión, evaluación y cumplimiento de sus disposiciones.</w:t>
      </w:r>
    </w:p>
    <w:p w14:paraId="18636C9E"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ARTÍCULO 14°. REGLAMENTACIÓN E IMPLEMENTACIÓN.</w:t>
      </w:r>
      <w:r>
        <w:rPr>
          <w:rFonts w:ascii="Times New Roman" w:eastAsia="Times New Roman" w:hAnsi="Times New Roman" w:cs="Times New Roman"/>
          <w:color w:val="000000"/>
          <w:sz w:val="22"/>
          <w:szCs w:val="22"/>
        </w:rPr>
        <w:t xml:space="preserve"> La Administración Distrital reglamentará e iniciará la implementación de las disposiciones del presente Acuerdo dentro de los seis (6) meses siguiente</w:t>
      </w:r>
      <w:r>
        <w:rPr>
          <w:rFonts w:ascii="Times New Roman" w:eastAsia="Times New Roman" w:hAnsi="Times New Roman" w:cs="Times New Roman"/>
          <w:color w:val="000000"/>
          <w:sz w:val="22"/>
          <w:szCs w:val="22"/>
        </w:rPr>
        <w:t xml:space="preserve">s a su entrada en vigencia. </w:t>
      </w:r>
    </w:p>
    <w:p w14:paraId="18636C9F"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Parágrafo. </w:t>
      </w:r>
      <w:r>
        <w:rPr>
          <w:rFonts w:ascii="Times New Roman" w:eastAsia="Times New Roman" w:hAnsi="Times New Roman" w:cs="Times New Roman"/>
          <w:color w:val="000000"/>
          <w:sz w:val="22"/>
          <w:szCs w:val="22"/>
        </w:rPr>
        <w:t>En la reglamentación del presente Acuerdo se contará con la participación incidente de representantes y organizaciones gremiales de la industria panificadora de la ciudad.</w:t>
      </w:r>
    </w:p>
    <w:p w14:paraId="18636CA0" w14:textId="77777777" w:rsidR="00123B2F" w:rsidRDefault="003C3CEE">
      <w:pPr>
        <w:spacing w:before="240" w:after="240"/>
        <w:jc w:val="both"/>
        <w:rPr>
          <w:rFonts w:ascii="Times New Roman" w:eastAsia="Times New Roman" w:hAnsi="Times New Roman" w:cs="Times New Roman"/>
          <w:color w:val="000000"/>
          <w:sz w:val="22"/>
          <w:szCs w:val="22"/>
        </w:rPr>
      </w:pPr>
      <w:r>
        <w:rPr>
          <w:rFonts w:ascii="Times New Roman" w:eastAsia="Times New Roman" w:hAnsi="Times New Roman" w:cs="Times New Roman"/>
          <w:b/>
          <w:color w:val="000000"/>
          <w:sz w:val="22"/>
          <w:szCs w:val="22"/>
        </w:rPr>
        <w:t xml:space="preserve">ARTÍCULO 15°. VIGENCIA. </w:t>
      </w:r>
      <w:r>
        <w:rPr>
          <w:rFonts w:ascii="Times New Roman" w:eastAsia="Times New Roman" w:hAnsi="Times New Roman" w:cs="Times New Roman"/>
          <w:color w:val="000000"/>
          <w:sz w:val="22"/>
          <w:szCs w:val="22"/>
        </w:rPr>
        <w:t xml:space="preserve">El presente Acuerdo </w:t>
      </w:r>
      <w:r>
        <w:rPr>
          <w:rFonts w:ascii="Times New Roman" w:eastAsia="Times New Roman" w:hAnsi="Times New Roman" w:cs="Times New Roman"/>
          <w:color w:val="000000"/>
          <w:sz w:val="22"/>
          <w:szCs w:val="22"/>
        </w:rPr>
        <w:t>rige a partir de la fecha de su publicación.</w:t>
      </w:r>
    </w:p>
    <w:p w14:paraId="18636CA1" w14:textId="77777777" w:rsidR="00123B2F" w:rsidRDefault="00123B2F">
      <w:pPr>
        <w:spacing w:before="240" w:after="240"/>
        <w:jc w:val="both"/>
        <w:rPr>
          <w:rFonts w:ascii="Times New Roman" w:eastAsia="Times New Roman" w:hAnsi="Times New Roman" w:cs="Times New Roman"/>
          <w:color w:val="000000"/>
          <w:sz w:val="22"/>
          <w:szCs w:val="22"/>
        </w:rPr>
      </w:pPr>
    </w:p>
    <w:p w14:paraId="18636CA2" w14:textId="77777777" w:rsidR="00123B2F" w:rsidRDefault="003C3CEE">
      <w:pPr>
        <w:spacing w:after="160" w:line="256" w:lineRule="auto"/>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PUBLÍQUESE, COMUNÍQUESE Y CÚMPLASE</w:t>
      </w:r>
    </w:p>
    <w:sectPr w:rsidR="00123B2F">
      <w:headerReference w:type="default" r:id="rId21"/>
      <w:footerReference w:type="even" r:id="rId22"/>
      <w:footerReference w:type="default" r:id="rId23"/>
      <w:pgSz w:w="12242" w:h="15842"/>
      <w:pgMar w:top="1701" w:right="1701" w:bottom="1701" w:left="1701" w:header="709"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636CDB" w14:textId="77777777" w:rsidR="00000000" w:rsidRDefault="003C3CEE">
      <w:r>
        <w:separator/>
      </w:r>
    </w:p>
  </w:endnote>
  <w:endnote w:type="continuationSeparator" w:id="0">
    <w:p w14:paraId="18636CDD" w14:textId="77777777" w:rsidR="00000000" w:rsidRDefault="003C3C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roman"/>
    <w:notTrueType/>
    <w:pitch w:val="default"/>
  </w:font>
  <w:font w:name="Georgia">
    <w:panose1 w:val="02040502050405020303"/>
    <w:charset w:val="00"/>
    <w:family w:val="auto"/>
    <w:pitch w:val="default"/>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636CCF" w14:textId="77777777" w:rsidR="00123B2F" w:rsidRDefault="003C3CEE">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jc w:val="right"/>
      <w:rPr>
        <w:color w:val="000000"/>
      </w:rPr>
    </w:pPr>
    <w:r>
      <w:rPr>
        <w:color w:val="000000"/>
      </w:rPr>
      <w:fldChar w:fldCharType="begin"/>
    </w:r>
    <w:r>
      <w:rPr>
        <w:color w:val="000000"/>
      </w:rPr>
      <w:instrText>PAGE</w:instrText>
    </w:r>
    <w:r>
      <w:rPr>
        <w:color w:val="000000"/>
      </w:rPr>
      <w:fldChar w:fldCharType="end"/>
    </w:r>
  </w:p>
  <w:p w14:paraId="18636CD0" w14:textId="77777777" w:rsidR="00123B2F" w:rsidRDefault="00123B2F">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636CD1" w14:textId="77777777" w:rsidR="00123B2F" w:rsidRDefault="00123B2F">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jc w:val="center"/>
      <w:rPr>
        <w:color w:val="000000"/>
        <w:sz w:val="18"/>
        <w:szCs w:val="18"/>
      </w:rPr>
    </w:pPr>
  </w:p>
  <w:p w14:paraId="18636CD2" w14:textId="77777777" w:rsidR="00123B2F" w:rsidRDefault="00123B2F">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jc w:val="center"/>
      <w:rPr>
        <w:color w:val="000000"/>
        <w:sz w:val="18"/>
        <w:szCs w:val="18"/>
      </w:rPr>
    </w:pPr>
  </w:p>
  <w:p w14:paraId="18636CD3" w14:textId="77777777" w:rsidR="00123B2F" w:rsidRDefault="00123B2F">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jc w:val="center"/>
      <w:rPr>
        <w:color w:val="000000"/>
        <w:sz w:val="16"/>
        <w:szCs w:val="16"/>
      </w:rPr>
    </w:pPr>
  </w:p>
  <w:p w14:paraId="18636CD4" w14:textId="77777777" w:rsidR="00123B2F" w:rsidRDefault="00123B2F">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rPr>
        <w:color w:val="000000"/>
        <w:sz w:val="16"/>
        <w:szCs w:val="16"/>
      </w:rPr>
    </w:pPr>
  </w:p>
  <w:p w14:paraId="18636CD5" w14:textId="77777777" w:rsidR="00123B2F" w:rsidRDefault="00123B2F">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rPr>
        <w:color w:val="000000"/>
        <w:sz w:val="16"/>
        <w:szCs w:val="16"/>
      </w:rPr>
    </w:pPr>
  </w:p>
  <w:p w14:paraId="18636CD6" w14:textId="77777777" w:rsidR="00123B2F" w:rsidRDefault="00123B2F">
    <w:pPr>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636CD7" w14:textId="77777777" w:rsidR="00000000" w:rsidRDefault="003C3CEE">
      <w:r>
        <w:separator/>
      </w:r>
    </w:p>
  </w:footnote>
  <w:footnote w:type="continuationSeparator" w:id="0">
    <w:p w14:paraId="18636CD9" w14:textId="77777777" w:rsidR="00000000" w:rsidRDefault="003C3CEE">
      <w:r>
        <w:continuationSeparator/>
      </w:r>
    </w:p>
  </w:footnote>
  <w:footnote w:id="1">
    <w:p w14:paraId="18636CD9" w14:textId="77777777" w:rsidR="00123B2F" w:rsidRDefault="003C3CEE">
      <w:pPr>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Duquesa. (2022). </w:t>
      </w:r>
      <w:r>
        <w:rPr>
          <w:rFonts w:ascii="Times New Roman" w:eastAsia="Times New Roman" w:hAnsi="Times New Roman" w:cs="Times New Roman"/>
          <w:i/>
          <w:sz w:val="20"/>
          <w:szCs w:val="20"/>
        </w:rPr>
        <w:t>Desafíos del sector panadero en Colombia: Amasando en tiempos de cambio.</w:t>
      </w:r>
      <w:r>
        <w:rPr>
          <w:rFonts w:ascii="Times New Roman" w:eastAsia="Times New Roman" w:hAnsi="Times New Roman" w:cs="Times New Roman"/>
          <w:sz w:val="20"/>
          <w:szCs w:val="20"/>
        </w:rPr>
        <w:t xml:space="preserve"> Recuperado de. </w:t>
      </w:r>
      <w:hyperlink r:id="rId1">
        <w:r>
          <w:rPr>
            <w:rFonts w:ascii="Times New Roman" w:eastAsia="Times New Roman" w:hAnsi="Times New Roman" w:cs="Times New Roman"/>
            <w:sz w:val="20"/>
            <w:szCs w:val="20"/>
            <w:u w:val="single"/>
          </w:rPr>
          <w:t>https://duquesa.com.co/desafios-sector-panadero-colombia/</w:t>
        </w:r>
      </w:hyperlink>
      <w:r>
        <w:rPr>
          <w:rFonts w:ascii="Times New Roman" w:eastAsia="Times New Roman" w:hAnsi="Times New Roman" w:cs="Times New Roman"/>
          <w:sz w:val="20"/>
          <w:szCs w:val="20"/>
        </w:rPr>
        <w:t xml:space="preserve"> </w:t>
      </w:r>
    </w:p>
  </w:footnote>
  <w:footnote w:id="2">
    <w:p w14:paraId="18636CDA" w14:textId="77777777" w:rsidR="00123B2F" w:rsidRDefault="003C3CEE">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(2022). Informes sectoriales. Industria panificadora. Bogotá, Colombia.</w:t>
      </w:r>
    </w:p>
  </w:footnote>
  <w:footnote w:id="3">
    <w:p w14:paraId="18636CDB"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Grupo BIT, Business Analytics. (2018). </w:t>
      </w:r>
      <w:r>
        <w:rPr>
          <w:rFonts w:ascii="Times New Roman" w:eastAsia="Times New Roman" w:hAnsi="Times New Roman" w:cs="Times New Roman"/>
          <w:i/>
          <w:sz w:val="20"/>
          <w:szCs w:val="20"/>
        </w:rPr>
        <w:t>Todo sobre uno de los productos estrella de la canasta familiar colombiana.</w:t>
      </w:r>
      <w:r>
        <w:rPr>
          <w:rFonts w:ascii="Times New Roman" w:eastAsia="Times New Roman" w:hAnsi="Times New Roman" w:cs="Times New Roman"/>
          <w:sz w:val="20"/>
          <w:szCs w:val="20"/>
        </w:rPr>
        <w:t xml:space="preserve"> Recuperado de: </w:t>
      </w:r>
      <w:hyperlink r:id="rId2">
        <w:r>
          <w:rPr>
            <w:rFonts w:ascii="Times New Roman" w:eastAsia="Times New Roman" w:hAnsi="Times New Roman" w:cs="Times New Roman"/>
            <w:sz w:val="20"/>
            <w:szCs w:val="20"/>
            <w:u w:val="single"/>
          </w:rPr>
          <w:t>https://business-intelligence.grupobit.net/blog/todo-sobre-uno-de-los-productos-estrella-de-la-can</w:t>
        </w:r>
        <w:r>
          <w:rPr>
            <w:rFonts w:ascii="Times New Roman" w:eastAsia="Times New Roman" w:hAnsi="Times New Roman" w:cs="Times New Roman"/>
            <w:sz w:val="20"/>
            <w:szCs w:val="20"/>
            <w:u w:val="single"/>
          </w:rPr>
          <w:t>asta-familiar-colombiana</w:t>
        </w:r>
      </w:hyperlink>
    </w:p>
  </w:footnote>
  <w:footnote w:id="4">
    <w:p w14:paraId="18636CDC"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(2019). </w:t>
      </w:r>
      <w:r>
        <w:rPr>
          <w:rFonts w:ascii="Times New Roman" w:eastAsia="Times New Roman" w:hAnsi="Times New Roman" w:cs="Times New Roman"/>
          <w:i/>
          <w:sz w:val="20"/>
          <w:szCs w:val="20"/>
        </w:rPr>
        <w:t>Ingredientes Saludables y Experiencia, Retos para el Sector Panificador</w:t>
      </w:r>
      <w:r>
        <w:rPr>
          <w:rFonts w:ascii="Times New Roman" w:eastAsia="Times New Roman" w:hAnsi="Times New Roman" w:cs="Times New Roman"/>
          <w:sz w:val="20"/>
          <w:szCs w:val="20"/>
        </w:rPr>
        <w:t xml:space="preserve">. Recuperado de: </w:t>
      </w:r>
    </w:p>
    <w:p w14:paraId="18636CDD" w14:textId="77777777" w:rsidR="00123B2F" w:rsidRDefault="003C3CEE">
      <w:pPr>
        <w:jc w:val="both"/>
        <w:rPr>
          <w:rFonts w:ascii="Times New Roman" w:eastAsia="Times New Roman" w:hAnsi="Times New Roman" w:cs="Times New Roman"/>
          <w:sz w:val="20"/>
          <w:szCs w:val="20"/>
        </w:rPr>
      </w:pPr>
      <w:hyperlink r:id="rId3">
        <w:r>
          <w:rPr>
            <w:rFonts w:ascii="Times New Roman" w:eastAsia="Times New Roman" w:hAnsi="Times New Roman" w:cs="Times New Roman"/>
            <w:sz w:val="20"/>
            <w:szCs w:val="20"/>
            <w:u w:val="single"/>
          </w:rPr>
          <w:t>https://www.sectorial.co/informativa-industria-panificadora-y-de-pastas-itemlist/item/284711-los-retos-de-la-industria-panificadora</w:t>
        </w:r>
      </w:hyperlink>
      <w:r>
        <w:rPr>
          <w:rFonts w:ascii="Times New Roman" w:eastAsia="Times New Roman" w:hAnsi="Times New Roman" w:cs="Times New Roman"/>
          <w:sz w:val="20"/>
          <w:szCs w:val="20"/>
        </w:rPr>
        <w:t xml:space="preserve"> </w:t>
      </w:r>
    </w:p>
  </w:footnote>
  <w:footnote w:id="5">
    <w:p w14:paraId="18636CDE"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Rankia. (2023). </w:t>
      </w:r>
      <w:r>
        <w:rPr>
          <w:rFonts w:ascii="Times New Roman" w:eastAsia="Times New Roman" w:hAnsi="Times New Roman" w:cs="Times New Roman"/>
          <w:i/>
          <w:sz w:val="20"/>
          <w:szCs w:val="20"/>
        </w:rPr>
        <w:t>IVA Canasta familiar 2023: productos y tarifas.</w:t>
      </w:r>
      <w:r>
        <w:rPr>
          <w:rFonts w:ascii="Times New Roman" w:eastAsia="Times New Roman" w:hAnsi="Times New Roman" w:cs="Times New Roman"/>
          <w:sz w:val="20"/>
          <w:szCs w:val="20"/>
        </w:rPr>
        <w:t xml:space="preserve"> Recuperado de: </w:t>
      </w:r>
      <w:hyperlink r:id="rId4">
        <w:r>
          <w:rPr>
            <w:rFonts w:ascii="Times New Roman" w:eastAsia="Times New Roman" w:hAnsi="Times New Roman" w:cs="Times New Roman"/>
            <w:sz w:val="20"/>
            <w:szCs w:val="20"/>
            <w:u w:val="single"/>
          </w:rPr>
          <w:t>https://www.rankia.co/blog/dian/3939697-iva-canasta-familiar-productos-tarifas</w:t>
        </w:r>
      </w:hyperlink>
      <w:r>
        <w:rPr>
          <w:rFonts w:ascii="Times New Roman" w:eastAsia="Times New Roman" w:hAnsi="Times New Roman" w:cs="Times New Roman"/>
          <w:sz w:val="20"/>
          <w:szCs w:val="20"/>
        </w:rPr>
        <w:t xml:space="preserve"> </w:t>
      </w:r>
    </w:p>
  </w:footnote>
  <w:footnote w:id="6">
    <w:p w14:paraId="18636CDF" w14:textId="77777777" w:rsidR="00123B2F" w:rsidRDefault="003C3CEE">
      <w:pPr>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highlight w:val="white"/>
        </w:rPr>
        <w:t>Mesas, J. M., y Alegre, M. T. (2002). El pan y su proceso de elaboración the bread and its pr</w:t>
      </w:r>
      <w:r>
        <w:rPr>
          <w:rFonts w:ascii="Times New Roman" w:eastAsia="Times New Roman" w:hAnsi="Times New Roman" w:cs="Times New Roman"/>
          <w:sz w:val="20"/>
          <w:szCs w:val="20"/>
          <w:highlight w:val="white"/>
        </w:rPr>
        <w:t xml:space="preserve">ocessing o pan eo seu proceso de elaboración. </w:t>
      </w:r>
      <w:r>
        <w:rPr>
          <w:rFonts w:ascii="Times New Roman" w:eastAsia="Times New Roman" w:hAnsi="Times New Roman" w:cs="Times New Roman"/>
          <w:i/>
          <w:sz w:val="20"/>
          <w:szCs w:val="20"/>
          <w:highlight w:val="white"/>
        </w:rPr>
        <w:t>CYTA-Journal of Food, 3</w:t>
      </w:r>
      <w:r>
        <w:rPr>
          <w:rFonts w:ascii="Times New Roman" w:eastAsia="Times New Roman" w:hAnsi="Times New Roman" w:cs="Times New Roman"/>
          <w:sz w:val="20"/>
          <w:szCs w:val="20"/>
          <w:highlight w:val="white"/>
        </w:rPr>
        <w:t xml:space="preserve">(5), 307-313. Recuperado de: </w:t>
      </w:r>
      <w:hyperlink r:id="rId5">
        <w:r>
          <w:rPr>
            <w:rFonts w:ascii="Times New Roman" w:eastAsia="Times New Roman" w:hAnsi="Times New Roman" w:cs="Times New Roman"/>
            <w:sz w:val="20"/>
            <w:szCs w:val="20"/>
            <w:highlight w:val="white"/>
            <w:u w:val="single"/>
          </w:rPr>
          <w:t>https://www.redalyc.org/pdf/724/72430508.pdf</w:t>
        </w:r>
      </w:hyperlink>
      <w:r>
        <w:rPr>
          <w:rFonts w:ascii="Times New Roman" w:eastAsia="Times New Roman" w:hAnsi="Times New Roman" w:cs="Times New Roman"/>
          <w:sz w:val="20"/>
          <w:szCs w:val="20"/>
          <w:highlight w:val="white"/>
        </w:rPr>
        <w:t xml:space="preserve">)  </w:t>
      </w:r>
    </w:p>
  </w:footnote>
  <w:footnote w:id="7">
    <w:p w14:paraId="18636CE0"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SICEX, Promoting Global Trade. (2019). </w:t>
      </w:r>
      <w:r>
        <w:rPr>
          <w:rFonts w:ascii="Times New Roman" w:eastAsia="Times New Roman" w:hAnsi="Times New Roman" w:cs="Times New Roman"/>
          <w:i/>
          <w:sz w:val="20"/>
          <w:szCs w:val="20"/>
        </w:rPr>
        <w:t>Harina</w:t>
      </w:r>
      <w:r>
        <w:rPr>
          <w:rFonts w:ascii="Times New Roman" w:eastAsia="Times New Roman" w:hAnsi="Times New Roman" w:cs="Times New Roman"/>
          <w:i/>
          <w:sz w:val="20"/>
          <w:szCs w:val="20"/>
        </w:rPr>
        <w:t>s de maíz, trigo y arroz: Productos de alto consumo en Colombia</w:t>
      </w:r>
      <w:r>
        <w:rPr>
          <w:rFonts w:ascii="Times New Roman" w:eastAsia="Times New Roman" w:hAnsi="Times New Roman" w:cs="Times New Roman"/>
          <w:sz w:val="20"/>
          <w:szCs w:val="20"/>
        </w:rPr>
        <w:t xml:space="preserve">. Recuperado de: </w:t>
      </w:r>
    </w:p>
    <w:p w14:paraId="18636CE1" w14:textId="77777777" w:rsidR="00123B2F" w:rsidRDefault="003C3CEE">
      <w:pPr>
        <w:jc w:val="both"/>
        <w:rPr>
          <w:rFonts w:ascii="Times New Roman" w:eastAsia="Times New Roman" w:hAnsi="Times New Roman" w:cs="Times New Roman"/>
          <w:sz w:val="20"/>
          <w:szCs w:val="20"/>
          <w:u w:val="single"/>
        </w:rPr>
      </w:pPr>
      <w:r>
        <w:rPr>
          <w:rFonts w:ascii="Times New Roman" w:eastAsia="Times New Roman" w:hAnsi="Times New Roman" w:cs="Times New Roman"/>
          <w:sz w:val="20"/>
          <w:szCs w:val="20"/>
          <w:u w:val="single"/>
        </w:rPr>
        <w:t>https://sicex.com/blog/harinas-de-maiz-trigo-y-arroz-productos-de-alto-consumo-en-colombia/#:~:text=Adem%C3%A1s%2C%20el%20trigo%20genera%20150.000,Colombia%20es%20la%20de%20ma%C3%ADz.</w:t>
      </w:r>
    </w:p>
  </w:footnote>
  <w:footnote w:id="8">
    <w:p w14:paraId="18636CE2" w14:textId="77777777" w:rsidR="00123B2F" w:rsidRDefault="003C3CEE">
      <w:pPr>
        <w:jc w:val="both"/>
        <w:rPr>
          <w:sz w:val="20"/>
          <w:szCs w:val="20"/>
          <w:u w:val="single"/>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Experto Panadero. (2022). </w:t>
      </w:r>
      <w:r>
        <w:rPr>
          <w:rFonts w:ascii="Times New Roman" w:eastAsia="Times New Roman" w:hAnsi="Times New Roman" w:cs="Times New Roman"/>
          <w:i/>
          <w:sz w:val="20"/>
          <w:szCs w:val="20"/>
        </w:rPr>
        <w:t>Consumo de Trigo en Colombia.</w:t>
      </w:r>
      <w:r>
        <w:rPr>
          <w:rFonts w:ascii="Times New Roman" w:eastAsia="Times New Roman" w:hAnsi="Times New Roman" w:cs="Times New Roman"/>
          <w:sz w:val="20"/>
          <w:szCs w:val="20"/>
        </w:rPr>
        <w:t xml:space="preserve"> Recuperado de:</w:t>
      </w:r>
      <w:r>
        <w:rPr>
          <w:rFonts w:ascii="Times New Roman" w:eastAsia="Times New Roman" w:hAnsi="Times New Roman" w:cs="Times New Roman"/>
          <w:sz w:val="20"/>
          <w:szCs w:val="20"/>
        </w:rPr>
        <w:t xml:space="preserve"> </w:t>
      </w:r>
      <w:hyperlink r:id="rId6" w:anchor=":~:text=En%20Colombia%20anualmente%20el%20consumo,Federaci%C3%B3n%20de%20Molineros%20(FEDEMOL)">
        <w:r>
          <w:rPr>
            <w:rFonts w:ascii="Times New Roman" w:eastAsia="Times New Roman" w:hAnsi="Times New Roman" w:cs="Times New Roman"/>
            <w:sz w:val="20"/>
            <w:szCs w:val="20"/>
            <w:u w:val="single"/>
          </w:rPr>
          <w:t>https://www.revistapancaliente.co/actualidad/consumo-de-trigo</w:t>
        </w:r>
        <w:r>
          <w:rPr>
            <w:rFonts w:ascii="Times New Roman" w:eastAsia="Times New Roman" w:hAnsi="Times New Roman" w:cs="Times New Roman"/>
            <w:sz w:val="20"/>
            <w:szCs w:val="20"/>
            <w:u w:val="single"/>
          </w:rPr>
          <w:t>-en-colombia/#:~:text=En%20Colombia%20anualmente%20el%20consumo,Federaci%C3%B3n%20de%20Molineros%20(FEDEMOL)</w:t>
        </w:r>
      </w:hyperlink>
      <w:r>
        <w:rPr>
          <w:rFonts w:ascii="Times New Roman" w:eastAsia="Times New Roman" w:hAnsi="Times New Roman" w:cs="Times New Roman"/>
          <w:sz w:val="20"/>
          <w:szCs w:val="20"/>
          <w:u w:val="single"/>
        </w:rPr>
        <w:t>.</w:t>
      </w:r>
      <w:r>
        <w:rPr>
          <w:sz w:val="20"/>
          <w:szCs w:val="20"/>
          <w:u w:val="single"/>
        </w:rPr>
        <w:t xml:space="preserve"> </w:t>
      </w:r>
    </w:p>
  </w:footnote>
  <w:footnote w:id="9">
    <w:p w14:paraId="18636CE3"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El Colombiano. (2021). </w:t>
      </w:r>
      <w:r>
        <w:rPr>
          <w:rFonts w:ascii="Times New Roman" w:eastAsia="Times New Roman" w:hAnsi="Times New Roman" w:cs="Times New Roman"/>
          <w:i/>
          <w:sz w:val="20"/>
          <w:szCs w:val="20"/>
        </w:rPr>
        <w:t>Maíz, Trigo y Soja ¿Por qué Colombia no es autosuficiente?</w:t>
      </w:r>
      <w:r>
        <w:rPr>
          <w:rFonts w:ascii="Times New Roman" w:eastAsia="Times New Roman" w:hAnsi="Times New Roman" w:cs="Times New Roman"/>
          <w:sz w:val="20"/>
          <w:szCs w:val="20"/>
        </w:rPr>
        <w:t xml:space="preserve"> Recuperado de: </w:t>
      </w:r>
      <w:hyperlink r:id="rId7">
        <w:r>
          <w:rPr>
            <w:rFonts w:ascii="Times New Roman" w:eastAsia="Times New Roman" w:hAnsi="Times New Roman" w:cs="Times New Roman"/>
            <w:sz w:val="20"/>
            <w:szCs w:val="20"/>
          </w:rPr>
          <w:t>https://www.elcolombiano.com/negocios/maiz-trigo-y-soya-por-que-colombia-no-es-autosuficiente-BL15962461</w:t>
        </w:r>
      </w:hyperlink>
      <w:r>
        <w:rPr>
          <w:rFonts w:ascii="Times New Roman" w:eastAsia="Times New Roman" w:hAnsi="Times New Roman" w:cs="Times New Roman"/>
          <w:sz w:val="20"/>
          <w:szCs w:val="20"/>
        </w:rPr>
        <w:t xml:space="preserve">   </w:t>
      </w:r>
    </w:p>
  </w:footnote>
  <w:footnote w:id="10">
    <w:p w14:paraId="18636CE4" w14:textId="77777777" w:rsidR="00123B2F" w:rsidRDefault="003C3CEE">
      <w:pPr>
        <w:jc w:val="both"/>
        <w:rPr>
          <w:rFonts w:ascii="Times New Roman" w:eastAsia="Times New Roman" w:hAnsi="Times New Roman" w:cs="Times New Roman"/>
          <w:sz w:val="20"/>
          <w:szCs w:val="20"/>
          <w:u w:val="single"/>
        </w:rPr>
      </w:pPr>
      <w:r>
        <w:rPr>
          <w:vertAlign w:val="superscript"/>
        </w:rPr>
        <w:footnoteRef/>
      </w:r>
      <w:r>
        <w:rPr>
          <w:rFonts w:ascii="Times New Roman" w:eastAsia="Times New Roman" w:hAnsi="Times New Roman" w:cs="Times New Roman"/>
          <w:sz w:val="20"/>
          <w:szCs w:val="20"/>
        </w:rPr>
        <w:t xml:space="preserve"> ANDI. (2021). </w:t>
      </w:r>
      <w:r>
        <w:rPr>
          <w:rFonts w:ascii="Times New Roman" w:eastAsia="Times New Roman" w:hAnsi="Times New Roman" w:cs="Times New Roman"/>
          <w:i/>
          <w:sz w:val="20"/>
          <w:szCs w:val="20"/>
        </w:rPr>
        <w:t>La industria molinera de trigo en Colombia está siendo</w:t>
      </w:r>
      <w:r>
        <w:rPr>
          <w:rFonts w:ascii="Times New Roman" w:eastAsia="Times New Roman" w:hAnsi="Times New Roman" w:cs="Times New Roman"/>
          <w:i/>
          <w:sz w:val="20"/>
          <w:szCs w:val="20"/>
        </w:rPr>
        <w:t xml:space="preserve"> impactada por el incremento de los insumos.</w:t>
      </w:r>
      <w:r>
        <w:rPr>
          <w:rFonts w:ascii="Times New Roman" w:eastAsia="Times New Roman" w:hAnsi="Times New Roman" w:cs="Times New Roman"/>
          <w:sz w:val="20"/>
          <w:szCs w:val="20"/>
        </w:rPr>
        <w:t xml:space="preserve"> Recuperado de: </w:t>
      </w:r>
      <w:hyperlink r:id="rId8">
        <w:r>
          <w:rPr>
            <w:rFonts w:ascii="Times New Roman" w:eastAsia="Times New Roman" w:hAnsi="Times New Roman" w:cs="Times New Roman"/>
            <w:sz w:val="20"/>
            <w:szCs w:val="20"/>
            <w:u w:val="single"/>
          </w:rPr>
          <w:t>https://www.andi.com.co/Home/Noticia/17105-la-industria-molinera-de-trigo-en-colom</w:t>
        </w:r>
      </w:hyperlink>
      <w:r>
        <w:rPr>
          <w:rFonts w:ascii="Times New Roman" w:eastAsia="Times New Roman" w:hAnsi="Times New Roman" w:cs="Times New Roman"/>
          <w:sz w:val="20"/>
          <w:szCs w:val="20"/>
          <w:u w:val="single"/>
        </w:rPr>
        <w:t xml:space="preserve"> </w:t>
      </w:r>
    </w:p>
  </w:footnote>
  <w:footnote w:id="11">
    <w:p w14:paraId="18636CE5" w14:textId="77777777" w:rsidR="00123B2F" w:rsidRDefault="003C3CEE">
      <w:pPr>
        <w:jc w:val="both"/>
        <w:rPr>
          <w:rFonts w:ascii="Times New Roman" w:eastAsia="Times New Roman" w:hAnsi="Times New Roman" w:cs="Times New Roman"/>
          <w:sz w:val="20"/>
          <w:szCs w:val="20"/>
          <w:u w:val="single"/>
        </w:rPr>
      </w:pPr>
      <w:r>
        <w:rPr>
          <w:vertAlign w:val="superscript"/>
        </w:rPr>
        <w:footnoteRef/>
      </w:r>
      <w:r>
        <w:rPr>
          <w:rFonts w:ascii="Times New Roman" w:eastAsia="Times New Roman" w:hAnsi="Times New Roman" w:cs="Times New Roman"/>
          <w:sz w:val="20"/>
          <w:szCs w:val="20"/>
        </w:rPr>
        <w:t xml:space="preserve"> Ministerio de Salud y Protección Social. (2023). </w:t>
      </w:r>
      <w:r>
        <w:rPr>
          <w:rFonts w:ascii="Times New Roman" w:eastAsia="Times New Roman" w:hAnsi="Times New Roman" w:cs="Times New Roman"/>
          <w:i/>
          <w:sz w:val="20"/>
          <w:szCs w:val="20"/>
        </w:rPr>
        <w:t>ABC del consumo de Sal- Sodio en Colombia</w:t>
      </w:r>
      <w:r>
        <w:rPr>
          <w:rFonts w:ascii="Times New Roman" w:eastAsia="Times New Roman" w:hAnsi="Times New Roman" w:cs="Times New Roman"/>
          <w:sz w:val="20"/>
          <w:szCs w:val="20"/>
        </w:rPr>
        <w:t xml:space="preserve">. Recuperado de: </w:t>
      </w:r>
      <w:hyperlink r:id="rId9">
        <w:r>
          <w:rPr>
            <w:rFonts w:ascii="Times New Roman" w:eastAsia="Times New Roman" w:hAnsi="Times New Roman" w:cs="Times New Roman"/>
            <w:sz w:val="20"/>
            <w:szCs w:val="20"/>
            <w:u w:val="single"/>
          </w:rPr>
          <w:t>https://www.minsalud.gov.co/salud/Paginas/ABC-redu</w:t>
        </w:r>
        <w:r>
          <w:rPr>
            <w:rFonts w:ascii="Times New Roman" w:eastAsia="Times New Roman" w:hAnsi="Times New Roman" w:cs="Times New Roman"/>
            <w:sz w:val="20"/>
            <w:szCs w:val="20"/>
            <w:u w:val="single"/>
          </w:rPr>
          <w:t>ccion-consumo-sals-odio.aspx</w:t>
        </w:r>
      </w:hyperlink>
      <w:r>
        <w:rPr>
          <w:rFonts w:ascii="Times New Roman" w:eastAsia="Times New Roman" w:hAnsi="Times New Roman" w:cs="Times New Roman"/>
          <w:sz w:val="20"/>
          <w:szCs w:val="20"/>
          <w:u w:val="single"/>
        </w:rPr>
        <w:t xml:space="preserve"> </w:t>
      </w:r>
    </w:p>
  </w:footnote>
  <w:footnote w:id="12">
    <w:p w14:paraId="18636CE6"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Banco de la República. (2022). Industria Salinera en Colombia. La ruta de la Sal. Recuperado de: </w:t>
      </w:r>
      <w:hyperlink r:id="rId10">
        <w:r>
          <w:rPr>
            <w:rFonts w:ascii="Times New Roman" w:eastAsia="Times New Roman" w:hAnsi="Times New Roman" w:cs="Times New Roman"/>
            <w:color w:val="1155CC"/>
            <w:sz w:val="20"/>
            <w:szCs w:val="20"/>
            <w:u w:val="single"/>
          </w:rPr>
          <w:t>https://www.banrepcultural.org/biblioteca-virtual/credencial-historia/numero-263/industria-salinera-en-colombia-la-ruta-de-la-sal</w:t>
        </w:r>
      </w:hyperlink>
      <w:r>
        <w:rPr>
          <w:rFonts w:ascii="Times New Roman" w:eastAsia="Times New Roman" w:hAnsi="Times New Roman" w:cs="Times New Roman"/>
          <w:sz w:val="20"/>
          <w:szCs w:val="20"/>
        </w:rPr>
        <w:t xml:space="preserve"> </w:t>
      </w:r>
    </w:p>
  </w:footnote>
  <w:footnote w:id="13">
    <w:p w14:paraId="18636CE7" w14:textId="77777777" w:rsidR="00123B2F" w:rsidRDefault="003C3CEE">
      <w:pPr>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Banco de la República. (2003). Documento de trabajo sobre economía regional, Salinas de Manaure: Tradición Wayuu y modernización. Recuperado de: </w:t>
      </w:r>
      <w:hyperlink r:id="rId11">
        <w:r>
          <w:rPr>
            <w:rFonts w:ascii="Times New Roman" w:eastAsia="Times New Roman" w:hAnsi="Times New Roman" w:cs="Times New Roman"/>
            <w:sz w:val="20"/>
            <w:szCs w:val="20"/>
            <w:u w:val="single"/>
          </w:rPr>
          <w:t>htt</w:t>
        </w:r>
        <w:r>
          <w:rPr>
            <w:rFonts w:ascii="Times New Roman" w:eastAsia="Times New Roman" w:hAnsi="Times New Roman" w:cs="Times New Roman"/>
            <w:sz w:val="20"/>
            <w:szCs w:val="20"/>
            <w:u w:val="single"/>
          </w:rPr>
          <w:t>ps://www.banrep.gov.co/sites/default/files/publicaciones/archivos/DTSER35-Salinas.pdf</w:t>
        </w:r>
      </w:hyperlink>
      <w:r>
        <w:rPr>
          <w:rFonts w:ascii="Times New Roman" w:eastAsia="Times New Roman" w:hAnsi="Times New Roman" w:cs="Times New Roman"/>
          <w:sz w:val="20"/>
          <w:szCs w:val="20"/>
        </w:rPr>
        <w:t xml:space="preserve"> </w:t>
      </w:r>
    </w:p>
  </w:footnote>
  <w:footnote w:id="14">
    <w:p w14:paraId="18636CE8"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CEAC. (2021). </w:t>
      </w:r>
      <w:r>
        <w:rPr>
          <w:rFonts w:ascii="Times New Roman" w:eastAsia="Times New Roman" w:hAnsi="Times New Roman" w:cs="Times New Roman"/>
          <w:i/>
          <w:sz w:val="20"/>
          <w:szCs w:val="20"/>
        </w:rPr>
        <w:t>Tipos de azúcar aplicados en repostería y pastelería.</w:t>
      </w:r>
      <w:r>
        <w:rPr>
          <w:rFonts w:ascii="Times New Roman" w:eastAsia="Times New Roman" w:hAnsi="Times New Roman" w:cs="Times New Roman"/>
          <w:sz w:val="20"/>
          <w:szCs w:val="20"/>
        </w:rPr>
        <w:t xml:space="preserve"> Recuperado de: </w:t>
      </w:r>
      <w:hyperlink r:id="rId12" w:anchor=":~:text=El%20az%C3%BAcar%20es%20un%20ingrediente,a%20nuestros%20productos%20y%20elaboraciones">
        <w:r>
          <w:rPr>
            <w:rFonts w:ascii="Times New Roman" w:eastAsia="Times New Roman" w:hAnsi="Times New Roman" w:cs="Times New Roman"/>
            <w:sz w:val="20"/>
            <w:szCs w:val="20"/>
            <w:u w:val="single"/>
          </w:rPr>
          <w:t>https://www.ceac.es/blog/tipos-de-azucar-aplicados-en-reposteria-y-pasteleria#:~:text=El%20az%C3%BAcar%20es%20un%20ingrediente,a%20nuestros%20pr</w:t>
        </w:r>
        <w:r>
          <w:rPr>
            <w:rFonts w:ascii="Times New Roman" w:eastAsia="Times New Roman" w:hAnsi="Times New Roman" w:cs="Times New Roman"/>
            <w:sz w:val="20"/>
            <w:szCs w:val="20"/>
            <w:u w:val="single"/>
          </w:rPr>
          <w:t>oductos%20y%20elaboraciones</w:t>
        </w:r>
      </w:hyperlink>
      <w:r>
        <w:rPr>
          <w:rFonts w:ascii="Times New Roman" w:eastAsia="Times New Roman" w:hAnsi="Times New Roman" w:cs="Times New Roman"/>
          <w:sz w:val="20"/>
          <w:szCs w:val="20"/>
        </w:rPr>
        <w:t xml:space="preserve">. </w:t>
      </w:r>
    </w:p>
  </w:footnote>
  <w:footnote w:id="15">
    <w:p w14:paraId="18636CE9"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(2022). </w:t>
      </w:r>
      <w:r>
        <w:rPr>
          <w:rFonts w:ascii="Times New Roman" w:eastAsia="Times New Roman" w:hAnsi="Times New Roman" w:cs="Times New Roman"/>
          <w:i/>
          <w:sz w:val="20"/>
          <w:szCs w:val="20"/>
        </w:rPr>
        <w:t>Informes sectoriales. Industria panificadora. Diciembre de 2022.</w:t>
      </w:r>
      <w:r>
        <w:rPr>
          <w:rFonts w:ascii="Times New Roman" w:eastAsia="Times New Roman" w:hAnsi="Times New Roman" w:cs="Times New Roman"/>
          <w:sz w:val="20"/>
          <w:szCs w:val="20"/>
        </w:rPr>
        <w:t xml:space="preserve"> Recuperado de: </w:t>
      </w:r>
      <w:hyperlink r:id="rId13">
        <w:r>
          <w:rPr>
            <w:rFonts w:ascii="Times New Roman" w:eastAsia="Times New Roman" w:hAnsi="Times New Roman" w:cs="Times New Roman"/>
            <w:sz w:val="20"/>
            <w:szCs w:val="20"/>
            <w:u w:val="single"/>
          </w:rPr>
          <w:t>https://www.banrepcultural.org/biblioteca-virtual/credencial-historia/numero-263/industria-salinera-en-colombia-la-ruta-de-la-sal</w:t>
        </w:r>
      </w:hyperlink>
      <w:r>
        <w:rPr>
          <w:rFonts w:ascii="Times New Roman" w:eastAsia="Times New Roman" w:hAnsi="Times New Roman" w:cs="Times New Roman"/>
          <w:sz w:val="20"/>
          <w:szCs w:val="20"/>
        </w:rPr>
        <w:t xml:space="preserve"> </w:t>
      </w:r>
    </w:p>
  </w:footnote>
  <w:footnote w:id="16">
    <w:p w14:paraId="18636CEA"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i/>
          <w:sz w:val="20"/>
          <w:szCs w:val="20"/>
        </w:rPr>
        <w:t xml:space="preserve"> </w:t>
      </w:r>
      <w:r>
        <w:rPr>
          <w:rFonts w:ascii="Times New Roman" w:eastAsia="Times New Roman" w:hAnsi="Times New Roman" w:cs="Times New Roman"/>
          <w:sz w:val="20"/>
          <w:szCs w:val="20"/>
        </w:rPr>
        <w:t xml:space="preserve">Portafolio. (2022). </w:t>
      </w:r>
      <w:r>
        <w:rPr>
          <w:rFonts w:ascii="Times New Roman" w:eastAsia="Times New Roman" w:hAnsi="Times New Roman" w:cs="Times New Roman"/>
          <w:i/>
          <w:sz w:val="20"/>
          <w:szCs w:val="20"/>
        </w:rPr>
        <w:t>El país importa 1.9 millones de toneladas de trigo.</w:t>
      </w:r>
      <w:r>
        <w:rPr>
          <w:rFonts w:ascii="Times New Roman" w:eastAsia="Times New Roman" w:hAnsi="Times New Roman" w:cs="Times New Roman"/>
          <w:sz w:val="20"/>
          <w:szCs w:val="20"/>
        </w:rPr>
        <w:t xml:space="preserve"> Recuperado de: </w:t>
      </w:r>
      <w:hyperlink r:id="rId14">
        <w:r>
          <w:rPr>
            <w:rFonts w:ascii="Times New Roman" w:eastAsia="Times New Roman" w:hAnsi="Times New Roman" w:cs="Times New Roman"/>
            <w:sz w:val="20"/>
            <w:szCs w:val="20"/>
            <w:u w:val="single"/>
          </w:rPr>
          <w:t>https://www.portafolio.co/economia/finanzas/el-pais-importa-1-9-millones-de-toneladas-de-trigo-567510</w:t>
        </w:r>
      </w:hyperlink>
      <w:r>
        <w:rPr>
          <w:rFonts w:ascii="Times New Roman" w:eastAsia="Times New Roman" w:hAnsi="Times New Roman" w:cs="Times New Roman"/>
          <w:sz w:val="20"/>
          <w:szCs w:val="20"/>
        </w:rPr>
        <w:t xml:space="preserve"> </w:t>
      </w:r>
    </w:p>
  </w:footnote>
  <w:footnote w:id="17">
    <w:p w14:paraId="18636CEB" w14:textId="77777777" w:rsidR="00123B2F" w:rsidRDefault="003C3CEE">
      <w:pPr>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Experto Panadero. (2022). Panorama del trigo en</w:t>
      </w:r>
      <w:r>
        <w:rPr>
          <w:rFonts w:ascii="Times New Roman" w:eastAsia="Times New Roman" w:hAnsi="Times New Roman" w:cs="Times New Roman"/>
          <w:sz w:val="20"/>
          <w:szCs w:val="20"/>
        </w:rPr>
        <w:t xml:space="preserve"> 2022. Recuperado de: </w:t>
      </w:r>
      <w:hyperlink r:id="rId15">
        <w:r>
          <w:rPr>
            <w:rFonts w:ascii="Times New Roman" w:eastAsia="Times New Roman" w:hAnsi="Times New Roman" w:cs="Times New Roman"/>
            <w:sz w:val="20"/>
            <w:szCs w:val="20"/>
            <w:u w:val="single"/>
          </w:rPr>
          <w:t>https://www.revistapancaliente.co/actualidad/panorama-del-trigo-en-el-2022/</w:t>
        </w:r>
      </w:hyperlink>
      <w:r>
        <w:rPr>
          <w:rFonts w:ascii="Times New Roman" w:eastAsia="Times New Roman" w:hAnsi="Times New Roman" w:cs="Times New Roman"/>
          <w:sz w:val="20"/>
          <w:szCs w:val="20"/>
        </w:rPr>
        <w:t xml:space="preserve"> </w:t>
      </w:r>
    </w:p>
  </w:footnote>
  <w:footnote w:id="18">
    <w:p w14:paraId="18636CEC"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(2022). Informes sectorial. Industria panificadora. Di</w:t>
      </w:r>
      <w:r>
        <w:rPr>
          <w:rFonts w:ascii="Times New Roman" w:eastAsia="Times New Roman" w:hAnsi="Times New Roman" w:cs="Times New Roman"/>
          <w:sz w:val="20"/>
          <w:szCs w:val="20"/>
        </w:rPr>
        <w:t>ciembre de 2022.</w:t>
      </w:r>
    </w:p>
  </w:footnote>
  <w:footnote w:id="19">
    <w:p w14:paraId="18636CED" w14:textId="77777777" w:rsidR="00123B2F" w:rsidRDefault="003C3CEE">
      <w:pPr>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La Barra. (2023). </w:t>
      </w:r>
      <w:r>
        <w:rPr>
          <w:rFonts w:ascii="Times New Roman" w:eastAsia="Times New Roman" w:hAnsi="Times New Roman" w:cs="Times New Roman"/>
          <w:i/>
          <w:sz w:val="20"/>
          <w:szCs w:val="20"/>
        </w:rPr>
        <w:t>Así es el panorama actual de las panaderías en Colombia.</w:t>
      </w:r>
      <w:r>
        <w:rPr>
          <w:rFonts w:ascii="Times New Roman" w:eastAsia="Times New Roman" w:hAnsi="Times New Roman" w:cs="Times New Roman"/>
          <w:sz w:val="20"/>
          <w:szCs w:val="20"/>
        </w:rPr>
        <w:t xml:space="preserve"> Recuperado de:  </w:t>
      </w:r>
      <w:hyperlink r:id="rId16">
        <w:r>
          <w:rPr>
            <w:rFonts w:ascii="Times New Roman" w:eastAsia="Times New Roman" w:hAnsi="Times New Roman" w:cs="Times New Roman"/>
            <w:sz w:val="20"/>
            <w:szCs w:val="20"/>
            <w:u w:val="single"/>
          </w:rPr>
          <w:t>https://www.revistalabarra.com/es/noti</w:t>
        </w:r>
        <w:r>
          <w:rPr>
            <w:rFonts w:ascii="Times New Roman" w:eastAsia="Times New Roman" w:hAnsi="Times New Roman" w:cs="Times New Roman"/>
            <w:sz w:val="20"/>
            <w:szCs w:val="20"/>
            <w:u w:val="single"/>
          </w:rPr>
          <w:t>cias/panorama-actual-de-las-panaderias-en-colombia</w:t>
        </w:r>
      </w:hyperlink>
      <w:r>
        <w:rPr>
          <w:rFonts w:ascii="Times New Roman" w:eastAsia="Times New Roman" w:hAnsi="Times New Roman" w:cs="Times New Roman"/>
          <w:sz w:val="20"/>
          <w:szCs w:val="20"/>
        </w:rPr>
        <w:t xml:space="preserve"> </w:t>
      </w:r>
    </w:p>
  </w:footnote>
  <w:footnote w:id="20">
    <w:p w14:paraId="18636CEE"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Duquesa. (2022). Desafíos del sector panadero en Colombia: Amasando en tiempos de cambio. Recuperado de: </w:t>
      </w:r>
      <w:hyperlink r:id="rId17">
        <w:r>
          <w:rPr>
            <w:rFonts w:ascii="Times New Roman" w:eastAsia="Times New Roman" w:hAnsi="Times New Roman" w:cs="Times New Roman"/>
            <w:sz w:val="20"/>
            <w:szCs w:val="20"/>
            <w:u w:val="single"/>
          </w:rPr>
          <w:t>https://duquesa.com.</w:t>
        </w:r>
        <w:r>
          <w:rPr>
            <w:rFonts w:ascii="Times New Roman" w:eastAsia="Times New Roman" w:hAnsi="Times New Roman" w:cs="Times New Roman"/>
            <w:sz w:val="20"/>
            <w:szCs w:val="20"/>
            <w:u w:val="single"/>
          </w:rPr>
          <w:t>co/desafios-sector-panadero-colombia/</w:t>
        </w:r>
      </w:hyperlink>
      <w:r>
        <w:rPr>
          <w:rFonts w:ascii="Times New Roman" w:eastAsia="Times New Roman" w:hAnsi="Times New Roman" w:cs="Times New Roman"/>
          <w:sz w:val="20"/>
          <w:szCs w:val="20"/>
        </w:rPr>
        <w:t xml:space="preserve"> </w:t>
      </w:r>
    </w:p>
  </w:footnote>
  <w:footnote w:id="21">
    <w:p w14:paraId="18636CEF"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La Barra. (2023). Así es el panorama actual de las panaderías en Colombia. Recuperado de:  </w:t>
      </w:r>
      <w:hyperlink r:id="rId18">
        <w:r>
          <w:rPr>
            <w:rFonts w:ascii="Times New Roman" w:eastAsia="Times New Roman" w:hAnsi="Times New Roman" w:cs="Times New Roman"/>
            <w:sz w:val="20"/>
            <w:szCs w:val="20"/>
            <w:u w:val="single"/>
          </w:rPr>
          <w:t xml:space="preserve">https://www.revistalabarra.com/es/noticias/panorama-actual-de-las-panaderias-en-colombia </w:t>
        </w:r>
      </w:hyperlink>
    </w:p>
  </w:footnote>
  <w:footnote w:id="22">
    <w:p w14:paraId="18636CF0"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23">
    <w:p w14:paraId="18636CF1" w14:textId="77777777" w:rsidR="00123B2F" w:rsidRDefault="003C3CEE">
      <w:pPr>
        <w:rPr>
          <w:sz w:val="20"/>
          <w:szCs w:val="20"/>
        </w:rPr>
      </w:pPr>
      <w:r>
        <w:rPr>
          <w:vertAlign w:val="superscript"/>
        </w:rPr>
        <w:footnoteRef/>
      </w:r>
      <w:r>
        <w:rPr>
          <w:rFonts w:ascii="Times New Roman" w:eastAsia="Times New Roman" w:hAnsi="Times New Roman" w:cs="Times New Roman"/>
          <w:sz w:val="20"/>
          <w:szCs w:val="20"/>
        </w:rPr>
        <w:t xml:space="preserve"> Ibídem.</w:t>
      </w:r>
      <w:r>
        <w:rPr>
          <w:sz w:val="20"/>
          <w:szCs w:val="20"/>
        </w:rPr>
        <w:t xml:space="preserve"> </w:t>
      </w:r>
    </w:p>
  </w:footnote>
  <w:footnote w:id="24">
    <w:p w14:paraId="18636CF2" w14:textId="77777777" w:rsidR="00123B2F" w:rsidRDefault="003C3CEE">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25">
    <w:p w14:paraId="18636CF3" w14:textId="77777777" w:rsidR="00123B2F" w:rsidRDefault="003C3CEE">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26">
    <w:p w14:paraId="18636CF4" w14:textId="77777777" w:rsidR="00123B2F" w:rsidRDefault="003C3CEE">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27">
    <w:p w14:paraId="18636CF5"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(2022). Informes sectoriales. Industria panificadora. Diciembre de 2022.</w:t>
      </w:r>
    </w:p>
  </w:footnote>
  <w:footnote w:id="28">
    <w:p w14:paraId="18636CF6"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Experto Panadero. (2022). </w:t>
      </w:r>
      <w:r>
        <w:rPr>
          <w:rFonts w:ascii="Times New Roman" w:eastAsia="Times New Roman" w:hAnsi="Times New Roman" w:cs="Times New Roman"/>
          <w:i/>
          <w:sz w:val="20"/>
          <w:szCs w:val="20"/>
        </w:rPr>
        <w:t>Pano</w:t>
      </w:r>
      <w:r>
        <w:rPr>
          <w:rFonts w:ascii="Times New Roman" w:eastAsia="Times New Roman" w:hAnsi="Times New Roman" w:cs="Times New Roman"/>
          <w:i/>
          <w:sz w:val="20"/>
          <w:szCs w:val="20"/>
        </w:rPr>
        <w:t>rama del trigo en 2022.</w:t>
      </w:r>
      <w:r>
        <w:rPr>
          <w:rFonts w:ascii="Times New Roman" w:eastAsia="Times New Roman" w:hAnsi="Times New Roman" w:cs="Times New Roman"/>
          <w:sz w:val="20"/>
          <w:szCs w:val="20"/>
        </w:rPr>
        <w:t xml:space="preserve"> </w:t>
      </w:r>
      <w:hyperlink r:id="rId19">
        <w:r>
          <w:rPr>
            <w:rFonts w:ascii="Times New Roman" w:eastAsia="Times New Roman" w:hAnsi="Times New Roman" w:cs="Times New Roman"/>
            <w:sz w:val="20"/>
            <w:szCs w:val="20"/>
            <w:u w:val="single"/>
          </w:rPr>
          <w:t>https://www.revistapancaliente.co/actualidad/panorama-del-trigo-en-el-2022/</w:t>
        </w:r>
      </w:hyperlink>
      <w:r>
        <w:rPr>
          <w:rFonts w:ascii="Times New Roman" w:eastAsia="Times New Roman" w:hAnsi="Times New Roman" w:cs="Times New Roman"/>
          <w:sz w:val="20"/>
          <w:szCs w:val="20"/>
        </w:rPr>
        <w:t xml:space="preserve"> </w:t>
      </w:r>
    </w:p>
  </w:footnote>
  <w:footnote w:id="29">
    <w:p w14:paraId="18636CF7"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(2023). </w:t>
      </w:r>
      <w:r>
        <w:rPr>
          <w:rFonts w:ascii="Times New Roman" w:eastAsia="Times New Roman" w:hAnsi="Times New Roman" w:cs="Times New Roman"/>
          <w:i/>
          <w:sz w:val="20"/>
          <w:szCs w:val="20"/>
        </w:rPr>
        <w:t>Escasez de Mantequilla Eleva Precios de Prod</w:t>
      </w:r>
      <w:r>
        <w:rPr>
          <w:rFonts w:ascii="Times New Roman" w:eastAsia="Times New Roman" w:hAnsi="Times New Roman" w:cs="Times New Roman"/>
          <w:i/>
          <w:sz w:val="20"/>
          <w:szCs w:val="20"/>
        </w:rPr>
        <w:t>uctos Panaderos.</w:t>
      </w:r>
      <w:r>
        <w:rPr>
          <w:rFonts w:ascii="Times New Roman" w:eastAsia="Times New Roman" w:hAnsi="Times New Roman" w:cs="Times New Roman"/>
          <w:sz w:val="20"/>
          <w:szCs w:val="20"/>
        </w:rPr>
        <w:t xml:space="preserve"> Recuperado de: </w:t>
      </w:r>
      <w:hyperlink r:id="rId20">
        <w:r>
          <w:rPr>
            <w:rFonts w:ascii="Times New Roman" w:eastAsia="Times New Roman" w:hAnsi="Times New Roman" w:cs="Times New Roman"/>
            <w:sz w:val="20"/>
            <w:szCs w:val="20"/>
            <w:u w:val="single"/>
          </w:rPr>
          <w:t>https://www.sectorial.co/informativa-industria-panificadora-y-de-pastas-i</w:t>
        </w:r>
        <w:r>
          <w:rPr>
            <w:rFonts w:ascii="Times New Roman" w:eastAsia="Times New Roman" w:hAnsi="Times New Roman" w:cs="Times New Roman"/>
            <w:sz w:val="20"/>
            <w:szCs w:val="20"/>
            <w:u w:val="single"/>
          </w:rPr>
          <w:t>temlist/item/284711-los-retos-de-la-industria-panificadora</w:t>
        </w:r>
      </w:hyperlink>
      <w:r>
        <w:rPr>
          <w:rFonts w:ascii="Times New Roman" w:eastAsia="Times New Roman" w:hAnsi="Times New Roman" w:cs="Times New Roman"/>
          <w:sz w:val="20"/>
          <w:szCs w:val="20"/>
        </w:rPr>
        <w:t xml:space="preserve"> </w:t>
      </w:r>
    </w:p>
  </w:footnote>
  <w:footnote w:id="30">
    <w:p w14:paraId="18636CF8" w14:textId="77777777" w:rsidR="00123B2F" w:rsidRDefault="003C3CEE">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(2022). Informes sectorial. Industria panificadora. Diciembre de 2022. </w:t>
      </w:r>
    </w:p>
  </w:footnote>
  <w:footnote w:id="31">
    <w:p w14:paraId="18636CF9"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(2023). </w:t>
      </w:r>
      <w:r>
        <w:rPr>
          <w:rFonts w:ascii="Times New Roman" w:eastAsia="Times New Roman" w:hAnsi="Times New Roman" w:cs="Times New Roman"/>
          <w:i/>
          <w:sz w:val="20"/>
          <w:szCs w:val="20"/>
        </w:rPr>
        <w:t>Escasez de Mantequilla Eleva Precios de Productos Panaderos.</w:t>
      </w:r>
      <w:r>
        <w:rPr>
          <w:rFonts w:ascii="Times New Roman" w:eastAsia="Times New Roman" w:hAnsi="Times New Roman" w:cs="Times New Roman"/>
          <w:sz w:val="20"/>
          <w:szCs w:val="20"/>
        </w:rPr>
        <w:t xml:space="preserve"> Recuperado de: </w:t>
      </w:r>
      <w:hyperlink r:id="rId21">
        <w:r>
          <w:rPr>
            <w:rFonts w:ascii="Times New Roman" w:eastAsia="Times New Roman" w:hAnsi="Times New Roman" w:cs="Times New Roman"/>
            <w:sz w:val="20"/>
            <w:szCs w:val="20"/>
            <w:u w:val="single"/>
          </w:rPr>
          <w:t>https://www.sectorial.co/informativa-industria-panificadora-y-de-pastas-itemlist/item/284711-los-retos-de-la-industria-panificado</w:t>
        </w:r>
        <w:r>
          <w:rPr>
            <w:rFonts w:ascii="Times New Roman" w:eastAsia="Times New Roman" w:hAnsi="Times New Roman" w:cs="Times New Roman"/>
            <w:sz w:val="20"/>
            <w:szCs w:val="20"/>
            <w:u w:val="single"/>
          </w:rPr>
          <w:t>ra</w:t>
        </w:r>
      </w:hyperlink>
      <w:r>
        <w:rPr>
          <w:rFonts w:ascii="Times New Roman" w:eastAsia="Times New Roman" w:hAnsi="Times New Roman" w:cs="Times New Roman"/>
          <w:sz w:val="20"/>
          <w:szCs w:val="20"/>
        </w:rPr>
        <w:t xml:space="preserve">  </w:t>
      </w:r>
    </w:p>
  </w:footnote>
  <w:footnote w:id="32">
    <w:p w14:paraId="18636CFA"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(2023). </w:t>
      </w:r>
      <w:r>
        <w:rPr>
          <w:rFonts w:ascii="Times New Roman" w:eastAsia="Times New Roman" w:hAnsi="Times New Roman" w:cs="Times New Roman"/>
          <w:i/>
          <w:sz w:val="20"/>
          <w:szCs w:val="20"/>
        </w:rPr>
        <w:t>Debido a los Altos Costos, la Producción de Pandebono se ha Reducido en un 50 %</w:t>
      </w:r>
      <w:r>
        <w:rPr>
          <w:rFonts w:ascii="Times New Roman" w:eastAsia="Times New Roman" w:hAnsi="Times New Roman" w:cs="Times New Roman"/>
          <w:sz w:val="20"/>
          <w:szCs w:val="20"/>
        </w:rPr>
        <w:t xml:space="preserve">. Recuperado de: </w:t>
      </w:r>
      <w:hyperlink r:id="rId22">
        <w:r>
          <w:rPr>
            <w:rFonts w:ascii="Times New Roman" w:eastAsia="Times New Roman" w:hAnsi="Times New Roman" w:cs="Times New Roman"/>
            <w:sz w:val="20"/>
            <w:szCs w:val="20"/>
            <w:u w:val="single"/>
          </w:rPr>
          <w:t>https://www.sectorial.co/informativa-industria-panificadora-y-de-pastas-itemlist/item/648214-la-produccion-de-pandebono-se-ha-reducido-en-un-50-aproximadamente</w:t>
        </w:r>
      </w:hyperlink>
      <w:r>
        <w:rPr>
          <w:rFonts w:ascii="Times New Roman" w:eastAsia="Times New Roman" w:hAnsi="Times New Roman" w:cs="Times New Roman"/>
          <w:sz w:val="20"/>
          <w:szCs w:val="20"/>
        </w:rPr>
        <w:t xml:space="preserve"> </w:t>
      </w:r>
    </w:p>
  </w:footnote>
  <w:footnote w:id="33">
    <w:p w14:paraId="18636CFB"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La Vanguardia. (2017). ¿El pan afecta al medio ambiente? Recuperado de: </w:t>
      </w:r>
      <w:hyperlink r:id="rId23" w:anchor=":~:text=Los%20investigadores%20de%20la%20Universidad,produce%20la%20producci%C3%B3n%20del%20pan">
        <w:r>
          <w:rPr>
            <w:rFonts w:ascii="Times New Roman" w:eastAsia="Times New Roman" w:hAnsi="Times New Roman" w:cs="Times New Roman"/>
            <w:sz w:val="20"/>
            <w:szCs w:val="20"/>
            <w:u w:val="single"/>
          </w:rPr>
          <w:t>https://www.lavanguardia.com/vivo/ecologia/20170309/42677318720/pan-medio-ambiente-fertilizantes-contaminantes-gases-efecto-invernadero.html#:~:text=Los%20investigadores%20de%20l</w:t>
        </w:r>
        <w:r>
          <w:rPr>
            <w:rFonts w:ascii="Times New Roman" w:eastAsia="Times New Roman" w:hAnsi="Times New Roman" w:cs="Times New Roman"/>
            <w:sz w:val="20"/>
            <w:szCs w:val="20"/>
            <w:u w:val="single"/>
          </w:rPr>
          <w:t>a%20Universidad,produce%20la%20producci%C3%B3n%20del%20pan</w:t>
        </w:r>
      </w:hyperlink>
      <w:r>
        <w:rPr>
          <w:rFonts w:ascii="Times New Roman" w:eastAsia="Times New Roman" w:hAnsi="Times New Roman" w:cs="Times New Roman"/>
          <w:sz w:val="20"/>
          <w:szCs w:val="20"/>
        </w:rPr>
        <w:t xml:space="preserve">. </w:t>
      </w:r>
    </w:p>
  </w:footnote>
  <w:footnote w:id="34">
    <w:p w14:paraId="18636CFC"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highlight w:val="white"/>
        </w:rPr>
        <w:t xml:space="preserve">Rodríguez, A. E., González, Y., y Turiño, N. (2019). Impacto ambiental de la Unidad Empresarial de Base (UEB) Cereales Frank País García de Santiago de Cuba. </w:t>
      </w:r>
      <w:r>
        <w:rPr>
          <w:rFonts w:ascii="Times New Roman" w:eastAsia="Times New Roman" w:hAnsi="Times New Roman" w:cs="Times New Roman"/>
          <w:i/>
          <w:sz w:val="20"/>
          <w:szCs w:val="20"/>
          <w:highlight w:val="white"/>
        </w:rPr>
        <w:t>Tecnología Química, 39</w:t>
      </w:r>
      <w:r>
        <w:rPr>
          <w:rFonts w:ascii="Times New Roman" w:eastAsia="Times New Roman" w:hAnsi="Times New Roman" w:cs="Times New Roman"/>
          <w:sz w:val="20"/>
          <w:szCs w:val="20"/>
          <w:highlight w:val="white"/>
        </w:rPr>
        <w:t>(3), 704-714.</w:t>
      </w:r>
      <w:r>
        <w:rPr>
          <w:rFonts w:ascii="Times New Roman" w:eastAsia="Times New Roman" w:hAnsi="Times New Roman" w:cs="Times New Roman"/>
          <w:sz w:val="20"/>
          <w:szCs w:val="20"/>
          <w:highlight w:val="white"/>
        </w:rPr>
        <w:t xml:space="preserve"> </w:t>
      </w:r>
    </w:p>
  </w:footnote>
  <w:footnote w:id="35">
    <w:p w14:paraId="18636CFD"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color w:val="222222"/>
          <w:sz w:val="20"/>
          <w:szCs w:val="20"/>
          <w:highlight w:val="white"/>
        </w:rPr>
        <w:t xml:space="preserve">Santana, K. D., Arteaga, L. E., Ledon, Y. C., y Rico, I. L. R. (2013). Análisis de ciclo de vida y caracterización ambiental en una industria alimenticia. </w:t>
      </w:r>
      <w:r>
        <w:rPr>
          <w:rFonts w:ascii="Times New Roman" w:eastAsia="Times New Roman" w:hAnsi="Times New Roman" w:cs="Times New Roman"/>
          <w:i/>
          <w:color w:val="222222"/>
          <w:sz w:val="20"/>
          <w:szCs w:val="20"/>
          <w:highlight w:val="white"/>
        </w:rPr>
        <w:t>Revista Centro Azúcar, 40</w:t>
      </w:r>
      <w:r>
        <w:rPr>
          <w:rFonts w:ascii="Times New Roman" w:eastAsia="Times New Roman" w:hAnsi="Times New Roman" w:cs="Times New Roman"/>
          <w:color w:val="222222"/>
          <w:sz w:val="20"/>
          <w:szCs w:val="20"/>
          <w:highlight w:val="white"/>
        </w:rPr>
        <w:t xml:space="preserve">(1). </w:t>
      </w:r>
    </w:p>
  </w:footnote>
  <w:footnote w:id="36">
    <w:p w14:paraId="18636CFE"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Organización de las Naciones Unidas para el Desarrollo Industria</w:t>
      </w:r>
      <w:r>
        <w:rPr>
          <w:rFonts w:ascii="Times New Roman" w:eastAsia="Times New Roman" w:hAnsi="Times New Roman" w:cs="Times New Roman"/>
          <w:sz w:val="20"/>
          <w:szCs w:val="20"/>
        </w:rPr>
        <w:t xml:space="preserve">l (ONUD).(2008). Introducción a la producción más limpia. Recuperado de: </w:t>
      </w:r>
      <w:hyperlink r:id="rId24">
        <w:r>
          <w:rPr>
            <w:rFonts w:ascii="Times New Roman" w:eastAsia="Times New Roman" w:hAnsi="Times New Roman" w:cs="Times New Roman"/>
            <w:sz w:val="20"/>
            <w:szCs w:val="20"/>
            <w:u w:val="single"/>
          </w:rPr>
          <w:t>https://www.unido.org/sites/default/files/2008-06/1-Textbook_0.pdf</w:t>
        </w:r>
      </w:hyperlink>
      <w:r>
        <w:rPr>
          <w:rFonts w:ascii="Times New Roman" w:eastAsia="Times New Roman" w:hAnsi="Times New Roman" w:cs="Times New Roman"/>
          <w:sz w:val="20"/>
          <w:szCs w:val="20"/>
        </w:rPr>
        <w:t xml:space="preserve"> </w:t>
      </w:r>
    </w:p>
  </w:footnote>
  <w:footnote w:id="37">
    <w:p w14:paraId="18636CFF"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Presidente de la República </w:t>
      </w:r>
      <w:r>
        <w:rPr>
          <w:rFonts w:ascii="Times New Roman" w:eastAsia="Times New Roman" w:hAnsi="Times New Roman" w:cs="Times New Roman"/>
          <w:sz w:val="20"/>
          <w:szCs w:val="20"/>
        </w:rPr>
        <w:t xml:space="preserve">de Colombia. (28 de octubre de 1996). </w:t>
      </w:r>
      <w:r>
        <w:rPr>
          <w:rFonts w:ascii="Times New Roman" w:eastAsia="Times New Roman" w:hAnsi="Times New Roman" w:cs="Times New Roman"/>
          <w:i/>
          <w:sz w:val="20"/>
          <w:szCs w:val="20"/>
        </w:rPr>
        <w:t>Decreto Número 1944 de 1996. Por medio del cual se reglamenta la fortificación de la harina de trigo y se establecen las condiciones de comercialización, rotulado vigilancia y control.</w:t>
      </w:r>
      <w:r>
        <w:rPr>
          <w:rFonts w:ascii="Times New Roman" w:eastAsia="Times New Roman" w:hAnsi="Times New Roman" w:cs="Times New Roman"/>
          <w:sz w:val="20"/>
          <w:szCs w:val="20"/>
        </w:rPr>
        <w:t xml:space="preserve"> Recuperado de:  </w:t>
      </w:r>
      <w:hyperlink r:id="rId25">
        <w:r>
          <w:rPr>
            <w:rFonts w:ascii="Times New Roman" w:eastAsia="Times New Roman" w:hAnsi="Times New Roman" w:cs="Times New Roman"/>
            <w:color w:val="1155CC"/>
            <w:sz w:val="20"/>
            <w:szCs w:val="20"/>
            <w:u w:val="single"/>
          </w:rPr>
          <w:t>http://www.saludcapital.gov.co/DSP/Lab_sp_vac/Panela_Harinas/Decreto_1944_1996.pdf</w:t>
        </w:r>
      </w:hyperlink>
      <w:r>
        <w:rPr>
          <w:rFonts w:ascii="Times New Roman" w:eastAsia="Times New Roman" w:hAnsi="Times New Roman" w:cs="Times New Roman"/>
          <w:sz w:val="20"/>
          <w:szCs w:val="20"/>
        </w:rPr>
        <w:t xml:space="preserve"> </w:t>
      </w:r>
    </w:p>
  </w:footnote>
  <w:footnote w:id="38">
    <w:p w14:paraId="18636D00" w14:textId="77777777" w:rsidR="00123B2F" w:rsidRDefault="003C3CEE">
      <w:pPr>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Raimondo, E., Farah, S., Calle, J., Mezzatesta, P., Dip, G., y Gascon, A. (2020). Mejoramiento del perfil nutricional del pan. </w:t>
      </w:r>
      <w:r>
        <w:rPr>
          <w:rFonts w:ascii="Times New Roman" w:eastAsia="Times New Roman" w:hAnsi="Times New Roman" w:cs="Times New Roman"/>
          <w:i/>
          <w:sz w:val="20"/>
          <w:szCs w:val="20"/>
        </w:rPr>
        <w:t xml:space="preserve">Investigación, Ciencia y Universidad (ICU), 4 </w:t>
      </w:r>
      <w:r>
        <w:rPr>
          <w:rFonts w:ascii="Times New Roman" w:eastAsia="Times New Roman" w:hAnsi="Times New Roman" w:cs="Times New Roman"/>
          <w:sz w:val="20"/>
          <w:szCs w:val="20"/>
        </w:rPr>
        <w:t xml:space="preserve">(5), 40 - 47.  Recuperado de: </w:t>
      </w:r>
      <w:hyperlink r:id="rId26">
        <w:r>
          <w:rPr>
            <w:rFonts w:ascii="Times New Roman" w:eastAsia="Times New Roman" w:hAnsi="Times New Roman" w:cs="Times New Roman"/>
            <w:sz w:val="20"/>
            <w:szCs w:val="20"/>
            <w:u w:val="single"/>
          </w:rPr>
          <w:t>http://repositorio.umaza.edu.ar/bitstream/handle/00261/2141/ICU%20V4N5_Raimondo_Mejoramiento%20del%20perfil%20nutricional%20</w:t>
        </w:r>
        <w:r>
          <w:rPr>
            <w:rFonts w:ascii="Times New Roman" w:eastAsia="Times New Roman" w:hAnsi="Times New Roman" w:cs="Times New Roman"/>
            <w:sz w:val="20"/>
            <w:szCs w:val="20"/>
            <w:u w:val="single"/>
          </w:rPr>
          <w:t>del%20pan_2020.pdf?sequence=1&amp;isAllowed=y</w:t>
        </w:r>
      </w:hyperlink>
      <w:r>
        <w:rPr>
          <w:rFonts w:ascii="Times New Roman" w:eastAsia="Times New Roman" w:hAnsi="Times New Roman" w:cs="Times New Roman"/>
          <w:sz w:val="20"/>
          <w:szCs w:val="20"/>
        </w:rPr>
        <w:t xml:space="preserve"> </w:t>
      </w:r>
    </w:p>
  </w:footnote>
  <w:footnote w:id="39">
    <w:p w14:paraId="18636D01"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Hernández, T. y Méndez, D. (2022). Elaboración de un pan apto para celíacos. </w:t>
      </w:r>
      <w:r>
        <w:rPr>
          <w:rFonts w:ascii="Times New Roman" w:eastAsia="Times New Roman" w:hAnsi="Times New Roman" w:cs="Times New Roman"/>
          <w:i/>
          <w:sz w:val="20"/>
          <w:szCs w:val="20"/>
          <w:highlight w:val="white"/>
        </w:rPr>
        <w:t>Boletín Científico de las Ciencias Económico Administrativas del ICEA,</w:t>
      </w:r>
      <w:r>
        <w:rPr>
          <w:rFonts w:ascii="Times New Roman" w:eastAsia="Times New Roman" w:hAnsi="Times New Roman" w:cs="Times New Roman"/>
          <w:sz w:val="20"/>
          <w:szCs w:val="20"/>
          <w:highlight w:val="white"/>
        </w:rPr>
        <w:t xml:space="preserve"> 11 (21), 68 - 69. Recuperado de: </w:t>
      </w:r>
      <w:hyperlink r:id="rId27">
        <w:r>
          <w:rPr>
            <w:rFonts w:ascii="Times New Roman" w:eastAsia="Times New Roman" w:hAnsi="Times New Roman" w:cs="Times New Roman"/>
            <w:sz w:val="20"/>
            <w:szCs w:val="20"/>
          </w:rPr>
          <w:t>https://repository.uaeh.edu.mx/revistas/index.php/icea/article/view/9683/9608</w:t>
        </w:r>
      </w:hyperlink>
      <w:r>
        <w:rPr>
          <w:rFonts w:ascii="Times New Roman" w:eastAsia="Times New Roman" w:hAnsi="Times New Roman" w:cs="Times New Roman"/>
          <w:sz w:val="20"/>
          <w:szCs w:val="20"/>
        </w:rPr>
        <w:t xml:space="preserve">   </w:t>
      </w:r>
    </w:p>
  </w:footnote>
  <w:footnote w:id="40">
    <w:p w14:paraId="18636D02"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Moscoso, F. y Quera, R. (2015), Enfermedad Celiaca: Revisión.</w:t>
      </w:r>
      <w:r>
        <w:rPr>
          <w:rFonts w:ascii="Times New Roman" w:eastAsia="Times New Roman" w:hAnsi="Times New Roman" w:cs="Times New Roman"/>
          <w:i/>
          <w:sz w:val="20"/>
          <w:szCs w:val="20"/>
        </w:rPr>
        <w:t xml:space="preserve"> Revista Médica C</w:t>
      </w:r>
      <w:r>
        <w:rPr>
          <w:rFonts w:ascii="Times New Roman" w:eastAsia="Times New Roman" w:hAnsi="Times New Roman" w:cs="Times New Roman"/>
          <w:i/>
          <w:sz w:val="20"/>
          <w:szCs w:val="20"/>
        </w:rPr>
        <w:t>línica Los Condes, 26</w:t>
      </w:r>
      <w:r>
        <w:rPr>
          <w:rFonts w:ascii="Times New Roman" w:eastAsia="Times New Roman" w:hAnsi="Times New Roman" w:cs="Times New Roman"/>
          <w:sz w:val="20"/>
          <w:szCs w:val="20"/>
        </w:rPr>
        <w:t xml:space="preserve"> (5), 613 - 627. Recuperado de: </w:t>
      </w:r>
      <w:hyperlink r:id="rId28" w:anchor=":~:text=La%20Enfermedad%20Celiaca%20(EC)%20tiene,menores%20y%20la%20EC%20silente">
        <w:r>
          <w:rPr>
            <w:rFonts w:ascii="Times New Roman" w:eastAsia="Times New Roman" w:hAnsi="Times New Roman" w:cs="Times New Roman"/>
            <w:sz w:val="20"/>
            <w:szCs w:val="20"/>
            <w:u w:val="single"/>
          </w:rPr>
          <w:t>https://www.elsevier.es/es-revista-revista-medica-clinica-las-condes-202-articulo-enfermedad-celiaca-revision-S0716864015001261#:~:text=La%20Enfermedad%20Celiaca%20(EC)%20tiene,menores%20y%20la%20EC%20silente</w:t>
        </w:r>
      </w:hyperlink>
      <w:r>
        <w:rPr>
          <w:rFonts w:ascii="Times New Roman" w:eastAsia="Times New Roman" w:hAnsi="Times New Roman" w:cs="Times New Roman"/>
          <w:sz w:val="20"/>
          <w:szCs w:val="20"/>
        </w:rPr>
        <w:t xml:space="preserve">. </w:t>
      </w:r>
    </w:p>
  </w:footnote>
  <w:footnote w:id="41">
    <w:p w14:paraId="18636D03"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ANDI. (2022).</w:t>
      </w:r>
      <w:r>
        <w:rPr>
          <w:rFonts w:ascii="Times New Roman" w:eastAsia="Times New Roman" w:hAnsi="Times New Roman" w:cs="Times New Roman"/>
          <w:sz w:val="20"/>
          <w:szCs w:val="20"/>
        </w:rPr>
        <w:t xml:space="preserve"> Informes sectorial. Industria panificadora. Diciembre de 2022.</w:t>
      </w:r>
    </w:p>
  </w:footnote>
  <w:footnote w:id="42">
    <w:p w14:paraId="18636D04" w14:textId="77777777" w:rsidR="00123B2F" w:rsidRDefault="003C3CEE">
      <w:pPr>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Secretaría Distrital de Seguridad, Convivencia y Justicia. (2023). Análisis general de delitos. Recuperado de: </w:t>
      </w:r>
      <w:hyperlink r:id="rId29">
        <w:r>
          <w:rPr>
            <w:rFonts w:ascii="Times New Roman" w:eastAsia="Times New Roman" w:hAnsi="Times New Roman" w:cs="Times New Roman"/>
            <w:sz w:val="20"/>
            <w:szCs w:val="20"/>
            <w:u w:val="single"/>
          </w:rPr>
          <w:t>https:</w:t>
        </w:r>
        <w:r>
          <w:rPr>
            <w:rFonts w:ascii="Times New Roman" w:eastAsia="Times New Roman" w:hAnsi="Times New Roman" w:cs="Times New Roman"/>
            <w:sz w:val="20"/>
            <w:szCs w:val="20"/>
            <w:u w:val="single"/>
          </w:rPr>
          <w:t>//analitica.scj.gov.co/analytics/saw.dll?Portal</w:t>
        </w:r>
      </w:hyperlink>
      <w:r>
        <w:rPr>
          <w:rFonts w:ascii="Times New Roman" w:eastAsia="Times New Roman" w:hAnsi="Times New Roman" w:cs="Times New Roman"/>
          <w:sz w:val="20"/>
          <w:szCs w:val="20"/>
        </w:rPr>
        <w:t xml:space="preserve"> </w:t>
      </w:r>
    </w:p>
  </w:footnote>
  <w:footnote w:id="43">
    <w:p w14:paraId="18636D05"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Asamblea General de las Naciones Unidas. (16 de diciembre de 1966). </w:t>
      </w:r>
      <w:r>
        <w:rPr>
          <w:rFonts w:ascii="Times New Roman" w:eastAsia="Times New Roman" w:hAnsi="Times New Roman" w:cs="Times New Roman"/>
          <w:i/>
          <w:sz w:val="20"/>
          <w:szCs w:val="20"/>
        </w:rPr>
        <w:t>Pacto Internacional de Derechos Económicos, Sociales y Culturales. Resolución 2200A (XXI).</w:t>
      </w:r>
      <w:r>
        <w:rPr>
          <w:rFonts w:ascii="Times New Roman" w:eastAsia="Times New Roman" w:hAnsi="Times New Roman" w:cs="Times New Roman"/>
          <w:sz w:val="20"/>
          <w:szCs w:val="20"/>
        </w:rPr>
        <w:t xml:space="preserve"> Recuperado de: </w:t>
      </w:r>
      <w:hyperlink r:id="rId30">
        <w:r>
          <w:rPr>
            <w:rFonts w:ascii="Times New Roman" w:eastAsia="Times New Roman" w:hAnsi="Times New Roman" w:cs="Times New Roman"/>
            <w:color w:val="1155CC"/>
            <w:sz w:val="20"/>
            <w:szCs w:val="20"/>
            <w:u w:val="single"/>
          </w:rPr>
          <w:t>https://www.ohchr.org/sites/default/files/Documents/ProfessionalInterest/cescr_SP.pdf</w:t>
        </w:r>
      </w:hyperlink>
      <w:r>
        <w:rPr>
          <w:rFonts w:ascii="Times New Roman" w:eastAsia="Times New Roman" w:hAnsi="Times New Roman" w:cs="Times New Roman"/>
          <w:sz w:val="20"/>
          <w:szCs w:val="20"/>
        </w:rPr>
        <w:t xml:space="preserve"> </w:t>
      </w:r>
    </w:p>
  </w:footnote>
  <w:footnote w:id="44">
    <w:p w14:paraId="18636D06"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Asamblea General de las Nacionales Unidas. (20 de noviembre de 1</w:t>
      </w:r>
      <w:r>
        <w:rPr>
          <w:rFonts w:ascii="Times New Roman" w:eastAsia="Times New Roman" w:hAnsi="Times New Roman" w:cs="Times New Roman"/>
          <w:sz w:val="20"/>
          <w:szCs w:val="20"/>
        </w:rPr>
        <w:t xml:space="preserve">989). </w:t>
      </w:r>
      <w:r>
        <w:rPr>
          <w:rFonts w:ascii="Times New Roman" w:eastAsia="Times New Roman" w:hAnsi="Times New Roman" w:cs="Times New Roman"/>
          <w:i/>
          <w:sz w:val="20"/>
          <w:szCs w:val="20"/>
        </w:rPr>
        <w:t>Convención Internacional sobre los Derechos del Niño</w:t>
      </w:r>
      <w:r>
        <w:rPr>
          <w:rFonts w:ascii="Times New Roman" w:eastAsia="Times New Roman" w:hAnsi="Times New Roman" w:cs="Times New Roman"/>
          <w:sz w:val="20"/>
          <w:szCs w:val="20"/>
        </w:rPr>
        <w:t xml:space="preserve">. Recuperada de: </w:t>
      </w:r>
      <w:hyperlink r:id="rId31">
        <w:r>
          <w:rPr>
            <w:rFonts w:ascii="Times New Roman" w:eastAsia="Times New Roman" w:hAnsi="Times New Roman" w:cs="Times New Roman"/>
            <w:color w:val="1155CC"/>
            <w:sz w:val="20"/>
            <w:szCs w:val="20"/>
            <w:u w:val="single"/>
          </w:rPr>
          <w:t>https://www.un.org/es/events/childrenday/pdf/derechos.pdf</w:t>
        </w:r>
      </w:hyperlink>
      <w:r>
        <w:rPr>
          <w:rFonts w:ascii="Times New Roman" w:eastAsia="Times New Roman" w:hAnsi="Times New Roman" w:cs="Times New Roman"/>
          <w:sz w:val="20"/>
          <w:szCs w:val="20"/>
        </w:rPr>
        <w:t xml:space="preserve"> </w:t>
      </w:r>
    </w:p>
  </w:footnote>
  <w:footnote w:id="45">
    <w:p w14:paraId="18636D07"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Asamblea General de la Organización de Esta</w:t>
      </w:r>
      <w:r>
        <w:rPr>
          <w:rFonts w:ascii="Times New Roman" w:eastAsia="Times New Roman" w:hAnsi="Times New Roman" w:cs="Times New Roman"/>
          <w:sz w:val="20"/>
          <w:szCs w:val="20"/>
        </w:rPr>
        <w:t xml:space="preserve">dos Americanos. (17 de noviembre de 1988). Protocolo Adicional a la Convención Americana sobre Derechos Humanos en materia de Derechos Económicos, Sociales y Culturales. Protocolo de San Salvador. Recuperado de: </w:t>
      </w:r>
      <w:hyperlink r:id="rId32">
        <w:r>
          <w:rPr>
            <w:rFonts w:ascii="Times New Roman" w:eastAsia="Times New Roman" w:hAnsi="Times New Roman" w:cs="Times New Roman"/>
            <w:color w:val="1155CC"/>
            <w:sz w:val="20"/>
            <w:szCs w:val="20"/>
            <w:u w:val="single"/>
          </w:rPr>
          <w:t>https://www.oas.org/es/sadye/inclusion-social/protocolo-ssv/docs/protocolo-san-salvador-es.pdf</w:t>
        </w:r>
      </w:hyperlink>
      <w:r>
        <w:rPr>
          <w:rFonts w:ascii="Times New Roman" w:eastAsia="Times New Roman" w:hAnsi="Times New Roman" w:cs="Times New Roman"/>
          <w:sz w:val="20"/>
          <w:szCs w:val="20"/>
        </w:rPr>
        <w:t xml:space="preserve"> </w:t>
      </w:r>
    </w:p>
  </w:footnote>
  <w:footnote w:id="46">
    <w:p w14:paraId="18636D08" w14:textId="77777777" w:rsidR="00123B2F" w:rsidRDefault="003C3CEE">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Constitución Política de Colombia. (1991). Bogotá, Colombia: Editorial Legis.</w:t>
      </w:r>
    </w:p>
  </w:footnote>
  <w:footnote w:id="47">
    <w:p w14:paraId="18636D09" w14:textId="77777777" w:rsidR="00123B2F" w:rsidRDefault="003C3CEE">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48">
    <w:p w14:paraId="18636D0A" w14:textId="77777777" w:rsidR="00123B2F" w:rsidRDefault="003C3CEE">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49">
    <w:p w14:paraId="18636D0B"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Ministerio de Salud Pública. (28 de octubre de 1996). </w:t>
      </w:r>
      <w:r>
        <w:rPr>
          <w:rFonts w:ascii="Times New Roman" w:eastAsia="Times New Roman" w:hAnsi="Times New Roman" w:cs="Times New Roman"/>
          <w:i/>
          <w:sz w:val="20"/>
          <w:szCs w:val="20"/>
        </w:rPr>
        <w:t>Decreto Nacional 1944 de 1996. Por el cual se reglamenta la fortificación de la harina de trigo y se establecen las condiciones de comercialización, rotulado, vigilancia y control.</w:t>
      </w:r>
      <w:r>
        <w:rPr>
          <w:rFonts w:ascii="Times New Roman" w:eastAsia="Times New Roman" w:hAnsi="Times New Roman" w:cs="Times New Roman"/>
          <w:sz w:val="20"/>
          <w:szCs w:val="20"/>
        </w:rPr>
        <w:t xml:space="preserve"> D.O. 42.9</w:t>
      </w:r>
      <w:r>
        <w:rPr>
          <w:rFonts w:ascii="Times New Roman" w:eastAsia="Times New Roman" w:hAnsi="Times New Roman" w:cs="Times New Roman"/>
          <w:sz w:val="20"/>
          <w:szCs w:val="20"/>
        </w:rPr>
        <w:t xml:space="preserve">09. Recuperado de: </w:t>
      </w:r>
      <w:hyperlink r:id="rId33">
        <w:r>
          <w:rPr>
            <w:rFonts w:ascii="Times New Roman" w:eastAsia="Times New Roman" w:hAnsi="Times New Roman" w:cs="Times New Roman"/>
            <w:color w:val="1155CC"/>
            <w:sz w:val="20"/>
            <w:szCs w:val="20"/>
            <w:u w:val="single"/>
          </w:rPr>
          <w:t>https://www.icbf.gov.co/cargues/avance/docs/decreto_1944_1996.htm</w:t>
        </w:r>
      </w:hyperlink>
      <w:r>
        <w:rPr>
          <w:rFonts w:ascii="Times New Roman" w:eastAsia="Times New Roman" w:hAnsi="Times New Roman" w:cs="Times New Roman"/>
          <w:sz w:val="20"/>
          <w:szCs w:val="20"/>
        </w:rPr>
        <w:t xml:space="preserve">  </w:t>
      </w:r>
    </w:p>
  </w:footnote>
  <w:footnote w:id="50">
    <w:p w14:paraId="18636D0C"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Consejo Distrital de Política Económica y Social del Distrito Capital. (2019). </w:t>
      </w:r>
      <w:r>
        <w:rPr>
          <w:rFonts w:ascii="Times New Roman" w:eastAsia="Times New Roman" w:hAnsi="Times New Roman" w:cs="Times New Roman"/>
          <w:i/>
          <w:sz w:val="20"/>
          <w:szCs w:val="20"/>
        </w:rPr>
        <w:t>Pol</w:t>
      </w:r>
      <w:r>
        <w:rPr>
          <w:rFonts w:ascii="Times New Roman" w:eastAsia="Times New Roman" w:hAnsi="Times New Roman" w:cs="Times New Roman"/>
          <w:i/>
          <w:sz w:val="20"/>
          <w:szCs w:val="20"/>
        </w:rPr>
        <w:t>ítica Pública de Seguridad Alimentaria y Nutricional para Bogotá: Construyendo Ciudadanía Alimentaria 2019 - 2031.</w:t>
      </w:r>
      <w:r>
        <w:rPr>
          <w:rFonts w:ascii="Times New Roman" w:eastAsia="Times New Roman" w:hAnsi="Times New Roman" w:cs="Times New Roman"/>
          <w:sz w:val="20"/>
          <w:szCs w:val="20"/>
        </w:rPr>
        <w:t xml:space="preserve"> Recuperada de: </w:t>
      </w:r>
      <w:hyperlink r:id="rId34">
        <w:r>
          <w:rPr>
            <w:rFonts w:ascii="Times New Roman" w:eastAsia="Times New Roman" w:hAnsi="Times New Roman" w:cs="Times New Roman"/>
            <w:color w:val="1155CC"/>
            <w:sz w:val="20"/>
            <w:szCs w:val="20"/>
            <w:u w:val="single"/>
          </w:rPr>
          <w:t>https://www.sdp.gov.co/sites/</w:t>
        </w:r>
        <w:r>
          <w:rPr>
            <w:rFonts w:ascii="Times New Roman" w:eastAsia="Times New Roman" w:hAnsi="Times New Roman" w:cs="Times New Roman"/>
            <w:color w:val="1155CC"/>
            <w:sz w:val="20"/>
            <w:szCs w:val="20"/>
            <w:u w:val="single"/>
          </w:rPr>
          <w:t>default/files/conpes_09_sdde_pp_san_aprobado.pdf</w:t>
        </w:r>
      </w:hyperlink>
      <w:r>
        <w:rPr>
          <w:rFonts w:ascii="Times New Roman" w:eastAsia="Times New Roman" w:hAnsi="Times New Roman" w:cs="Times New Roman"/>
          <w:sz w:val="20"/>
          <w:szCs w:val="20"/>
        </w:rPr>
        <w:t xml:space="preserve"> </w:t>
      </w:r>
    </w:p>
  </w:footnote>
  <w:footnote w:id="51">
    <w:p w14:paraId="18636D0D" w14:textId="77777777" w:rsidR="00123B2F" w:rsidRDefault="003C3CE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Congreso de la República de Colombia. (19 de mayo de 2023). </w:t>
      </w:r>
      <w:r>
        <w:rPr>
          <w:rFonts w:ascii="Times New Roman" w:eastAsia="Times New Roman" w:hAnsi="Times New Roman" w:cs="Times New Roman"/>
          <w:i/>
          <w:sz w:val="20"/>
          <w:szCs w:val="20"/>
        </w:rPr>
        <w:t>Ley 2294 de 2023. “Por medio de la cual se expide el Plan Nacional de Desarrollo 2022 - 2026. Colombia, potencia mundial de la vida”.</w:t>
      </w:r>
      <w:r>
        <w:rPr>
          <w:rFonts w:ascii="Times New Roman" w:eastAsia="Times New Roman" w:hAnsi="Times New Roman" w:cs="Times New Roman"/>
          <w:sz w:val="20"/>
          <w:szCs w:val="20"/>
        </w:rPr>
        <w:t xml:space="preserve"> D.O.: 52.4</w:t>
      </w:r>
      <w:r>
        <w:rPr>
          <w:rFonts w:ascii="Times New Roman" w:eastAsia="Times New Roman" w:hAnsi="Times New Roman" w:cs="Times New Roman"/>
          <w:sz w:val="20"/>
          <w:szCs w:val="20"/>
        </w:rPr>
        <w:t xml:space="preserve">00. Recuperado de: </w:t>
      </w:r>
      <w:hyperlink r:id="rId35" w:anchor="1">
        <w:r>
          <w:rPr>
            <w:rFonts w:ascii="Times New Roman" w:eastAsia="Times New Roman" w:hAnsi="Times New Roman" w:cs="Times New Roman"/>
            <w:color w:val="1155CC"/>
            <w:sz w:val="20"/>
            <w:szCs w:val="20"/>
            <w:u w:val="single"/>
          </w:rPr>
          <w:t>http://www.secretariasenado.gov.co/senado/basedoc/ley_2294_2023.html#1</w:t>
        </w:r>
      </w:hyperlink>
      <w:r>
        <w:rPr>
          <w:rFonts w:ascii="Times New Roman" w:eastAsia="Times New Roman" w:hAnsi="Times New Roman" w:cs="Times New Roman"/>
          <w:sz w:val="20"/>
          <w:szCs w:val="20"/>
        </w:rPr>
        <w:t xml:space="preserve"> </w:t>
      </w:r>
    </w:p>
  </w:footnote>
  <w:footnote w:id="52">
    <w:p w14:paraId="18636D0E" w14:textId="77777777" w:rsidR="00123B2F" w:rsidRDefault="003C3CEE">
      <w:pPr>
        <w:rPr>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Concejo de Bogotá. (7 de junio de 2024). </w:t>
      </w:r>
      <w:r>
        <w:rPr>
          <w:rFonts w:ascii="Times New Roman" w:eastAsia="Times New Roman" w:hAnsi="Times New Roman" w:cs="Times New Roman"/>
          <w:i/>
          <w:sz w:val="20"/>
          <w:szCs w:val="20"/>
        </w:rPr>
        <w:t>Acuerdo Distrital 927 de 2024. Por medio del cual se adopta el Plan de Desarrollo Económico, Social, Ambiental y de Obras Públicas del Distrito Capital 2024-2027 “Bogotá Camina Segura”.</w:t>
      </w:r>
      <w:r>
        <w:rPr>
          <w:rFonts w:ascii="Times New Roman" w:eastAsia="Times New Roman" w:hAnsi="Times New Roman" w:cs="Times New Roman"/>
          <w:sz w:val="20"/>
          <w:szCs w:val="20"/>
        </w:rPr>
        <w:t xml:space="preserve"> Recuperado de: </w:t>
      </w:r>
      <w:hyperlink r:id="rId36">
        <w:r>
          <w:rPr>
            <w:rFonts w:ascii="Times New Roman" w:eastAsia="Times New Roman" w:hAnsi="Times New Roman" w:cs="Times New Roman"/>
            <w:color w:val="1155CC"/>
            <w:sz w:val="20"/>
            <w:szCs w:val="20"/>
            <w:u w:val="single"/>
          </w:rPr>
          <w:t>https://sisjur.bogotajuridica.gov.co/sisjur/normas/Norma1.jsp?i=155699</w:t>
        </w:r>
      </w:hyperlink>
      <w:r>
        <w:rPr>
          <w:rFonts w:ascii="Times New Roman" w:eastAsia="Times New Roman" w:hAnsi="Times New Roman" w:cs="Times New Roman"/>
          <w:sz w:val="20"/>
          <w:szCs w:val="20"/>
        </w:rPr>
        <w:t xml:space="preserve"> </w:t>
      </w:r>
    </w:p>
  </w:footnote>
  <w:footnote w:id="53">
    <w:p w14:paraId="18636D0F" w14:textId="77777777" w:rsidR="00123B2F" w:rsidRDefault="003C3CEE">
      <w:pPr>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Ibídem</w:t>
      </w:r>
    </w:p>
  </w:footnote>
  <w:footnote w:id="54">
    <w:p w14:paraId="18636D10" w14:textId="77777777" w:rsidR="00123B2F" w:rsidRDefault="003C3CEE">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Secretaría de Planeación (2024). </w:t>
      </w:r>
      <w:r>
        <w:rPr>
          <w:rFonts w:ascii="Times New Roman" w:eastAsia="Times New Roman" w:hAnsi="Times New Roman" w:cs="Times New Roman"/>
          <w:i/>
          <w:sz w:val="20"/>
          <w:szCs w:val="20"/>
        </w:rPr>
        <w:t>Acuerdo Distrital 927 de 2024. Por medio del cual se adopta el Plan de Desarrollo Económico, Social, Ambi</w:t>
      </w:r>
      <w:r>
        <w:rPr>
          <w:rFonts w:ascii="Times New Roman" w:eastAsia="Times New Roman" w:hAnsi="Times New Roman" w:cs="Times New Roman"/>
          <w:i/>
          <w:sz w:val="20"/>
          <w:szCs w:val="20"/>
        </w:rPr>
        <w:t>ental y de Obras Públicas del Distrito Capital 2024-2027 “Bogotá Camina Segura”.</w:t>
      </w:r>
      <w:r>
        <w:rPr>
          <w:rFonts w:ascii="Times New Roman" w:eastAsia="Times New Roman" w:hAnsi="Times New Roman" w:cs="Times New Roman"/>
          <w:sz w:val="20"/>
          <w:szCs w:val="20"/>
        </w:rPr>
        <w:t xml:space="preserve"> </w:t>
      </w:r>
      <w:r>
        <w:rPr>
          <w:rFonts w:ascii="Times New Roman" w:eastAsia="Times New Roman" w:hAnsi="Times New Roman" w:cs="Times New Roman"/>
          <w:color w:val="00253F"/>
          <w:sz w:val="20"/>
          <w:szCs w:val="20"/>
        </w:rPr>
        <w:t xml:space="preserve">Anexo 4. Metas de Producto- </w:t>
      </w:r>
      <w:r>
        <w:rPr>
          <w:rFonts w:ascii="Times New Roman" w:eastAsia="Times New Roman" w:hAnsi="Times New Roman" w:cs="Times New Roman"/>
          <w:sz w:val="20"/>
          <w:szCs w:val="20"/>
        </w:rPr>
        <w:t xml:space="preserve">Recuperado de: </w:t>
      </w:r>
      <w:hyperlink r:id="rId37">
        <w:r>
          <w:rPr>
            <w:rFonts w:ascii="Times New Roman" w:eastAsia="Times New Roman" w:hAnsi="Times New Roman" w:cs="Times New Roman"/>
            <w:color w:val="1155CC"/>
            <w:sz w:val="20"/>
            <w:szCs w:val="20"/>
            <w:u w:val="single"/>
          </w:rPr>
          <w:t>https://sisjur.bogotajuridica.gov.co/sisju</w:t>
        </w:r>
        <w:r>
          <w:rPr>
            <w:rFonts w:ascii="Times New Roman" w:eastAsia="Times New Roman" w:hAnsi="Times New Roman" w:cs="Times New Roman"/>
            <w:color w:val="1155CC"/>
            <w:sz w:val="20"/>
            <w:szCs w:val="20"/>
            <w:u w:val="single"/>
          </w:rPr>
          <w:t>r/normas/Norma1.jsp?i=155699</w:t>
        </w:r>
      </w:hyperlink>
      <w:r>
        <w:rPr>
          <w:rFonts w:ascii="Times New Roman" w:eastAsia="Times New Roman" w:hAnsi="Times New Roman" w:cs="Times New Roman"/>
          <w:sz w:val="20"/>
          <w:szCs w:val="20"/>
        </w:rPr>
        <w:t xml:space="preserve"> </w:t>
      </w:r>
    </w:p>
  </w:footnote>
  <w:footnote w:id="55">
    <w:p w14:paraId="18636D11" w14:textId="77777777" w:rsidR="00123B2F" w:rsidRDefault="003C3CEE">
      <w:pPr>
        <w:rPr>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Ibídem</w:t>
      </w:r>
    </w:p>
  </w:footnote>
  <w:footnote w:id="56">
    <w:p w14:paraId="18636D12" w14:textId="77777777" w:rsidR="00123B2F" w:rsidRDefault="003C3CEE">
      <w:pPr>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Martinez, C (2023). Colombia bate récord con el pan de café más largo del mundo.  LA FM. Recuperado de: </w:t>
      </w:r>
      <w:hyperlink r:id="rId38">
        <w:r>
          <w:rPr>
            <w:rFonts w:ascii="Times New Roman" w:eastAsia="Times New Roman" w:hAnsi="Times New Roman" w:cs="Times New Roman"/>
            <w:color w:val="1155CC"/>
            <w:sz w:val="20"/>
            <w:szCs w:val="20"/>
            <w:u w:val="single"/>
          </w:rPr>
          <w:t>h</w:t>
        </w:r>
        <w:r>
          <w:rPr>
            <w:rFonts w:ascii="Times New Roman" w:eastAsia="Times New Roman" w:hAnsi="Times New Roman" w:cs="Times New Roman"/>
            <w:color w:val="1155CC"/>
            <w:sz w:val="20"/>
            <w:szCs w:val="20"/>
            <w:u w:val="single"/>
          </w:rPr>
          <w:t>ttps://www.lafm.com.co/bogota/colombia-bate-record-con-el-pan-de-cafe-mas-largo-del-mundo</w:t>
        </w:r>
      </w:hyperlink>
      <w:r>
        <w:rPr>
          <w:rFonts w:ascii="Times New Roman" w:eastAsia="Times New Roman" w:hAnsi="Times New Roman" w:cs="Times New Roman"/>
          <w:sz w:val="20"/>
          <w:szCs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636CC1" w14:textId="77777777" w:rsidR="00123B2F" w:rsidRDefault="00123B2F">
    <w:pPr>
      <w:widowControl w:val="0"/>
      <w:pBdr>
        <w:top w:val="none" w:sz="0" w:space="0" w:color="000000"/>
        <w:left w:val="none" w:sz="0" w:space="0" w:color="000000"/>
        <w:bottom w:val="none" w:sz="0" w:space="0" w:color="000000"/>
        <w:right w:val="none" w:sz="0" w:space="0" w:color="000000"/>
        <w:between w:val="none" w:sz="0" w:space="0" w:color="000000"/>
      </w:pBdr>
      <w:spacing w:line="276" w:lineRule="auto"/>
      <w:rPr>
        <w:rFonts w:ascii="Bookman Old Style" w:eastAsia="Bookman Old Style" w:hAnsi="Bookman Old Style" w:cs="Bookman Old Style"/>
        <w:sz w:val="20"/>
        <w:szCs w:val="20"/>
      </w:rPr>
    </w:pPr>
  </w:p>
  <w:tbl>
    <w:tblPr>
      <w:tblStyle w:val="a0"/>
      <w:tblW w:w="8830"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1"/>
      <w:gridCol w:w="4235"/>
      <w:gridCol w:w="2234"/>
    </w:tblGrid>
    <w:tr w:rsidR="00123B2F" w14:paraId="18636CC5" w14:textId="77777777">
      <w:trPr>
        <w:trHeight w:val="454"/>
      </w:trPr>
      <w:tc>
        <w:tcPr>
          <w:tcW w:w="2361" w:type="dxa"/>
          <w:vMerge w:val="restart"/>
          <w:tcBorders>
            <w:top w:val="single" w:sz="4" w:space="0" w:color="000000"/>
            <w:left w:val="single" w:sz="4" w:space="0" w:color="000000"/>
            <w:bottom w:val="single" w:sz="4" w:space="0" w:color="000000"/>
            <w:right w:val="single" w:sz="4" w:space="0" w:color="000000"/>
          </w:tcBorders>
          <w:vAlign w:val="center"/>
        </w:tcPr>
        <w:p w14:paraId="18636CC2" w14:textId="77777777" w:rsidR="00123B2F" w:rsidRDefault="003C3CEE">
          <w:pPr>
            <w:jc w:val="center"/>
            <w:rPr>
              <w:sz w:val="16"/>
              <w:szCs w:val="16"/>
            </w:rPr>
          </w:pPr>
          <w:r>
            <w:rPr>
              <w:noProof/>
              <w:sz w:val="16"/>
              <w:szCs w:val="16"/>
              <w:lang w:val="es-CO"/>
            </w:rPr>
            <w:drawing>
              <wp:inline distT="0" distB="0" distL="0" distR="0" wp14:anchorId="18636CD7" wp14:editId="18636CD8">
                <wp:extent cx="749935" cy="883920"/>
                <wp:effectExtent l="0" t="0" r="0" b="0"/>
                <wp:docPr id="11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749935" cy="883920"/>
                        </a:xfrm>
                        <a:prstGeom prst="rect">
                          <a:avLst/>
                        </a:prstGeom>
                        <a:ln/>
                      </pic:spPr>
                    </pic:pic>
                  </a:graphicData>
                </a:graphic>
              </wp:inline>
            </w:drawing>
          </w:r>
        </w:p>
      </w:tc>
      <w:tc>
        <w:tcPr>
          <w:tcW w:w="4235" w:type="dxa"/>
          <w:tcBorders>
            <w:top w:val="single" w:sz="4" w:space="0" w:color="000000"/>
            <w:left w:val="single" w:sz="4" w:space="0" w:color="000000"/>
            <w:bottom w:val="single" w:sz="4" w:space="0" w:color="000000"/>
            <w:right w:val="single" w:sz="4" w:space="0" w:color="000000"/>
          </w:tcBorders>
          <w:vAlign w:val="center"/>
        </w:tcPr>
        <w:p w14:paraId="18636CC3" w14:textId="77777777" w:rsidR="00123B2F" w:rsidRDefault="003C3CEE">
          <w:pPr>
            <w:jc w:val="center"/>
            <w:rPr>
              <w:sz w:val="18"/>
              <w:szCs w:val="18"/>
            </w:rPr>
          </w:pPr>
          <w:r>
            <w:rPr>
              <w:sz w:val="18"/>
              <w:szCs w:val="18"/>
            </w:rPr>
            <w:t>PROCESO GESTIÓN NORMATIVA</w:t>
          </w:r>
        </w:p>
      </w:tc>
      <w:tc>
        <w:tcPr>
          <w:tcW w:w="2234" w:type="dxa"/>
          <w:tcBorders>
            <w:top w:val="single" w:sz="4" w:space="0" w:color="000000"/>
            <w:left w:val="single" w:sz="4" w:space="0" w:color="000000"/>
            <w:bottom w:val="single" w:sz="4" w:space="0" w:color="000000"/>
            <w:right w:val="single" w:sz="4" w:space="0" w:color="000000"/>
          </w:tcBorders>
          <w:vAlign w:val="center"/>
        </w:tcPr>
        <w:p w14:paraId="18636CC4" w14:textId="77777777" w:rsidR="00123B2F" w:rsidRDefault="003C3CEE">
          <w:pPr>
            <w:rPr>
              <w:sz w:val="16"/>
              <w:szCs w:val="16"/>
            </w:rPr>
          </w:pPr>
          <w:r>
            <w:rPr>
              <w:sz w:val="16"/>
              <w:szCs w:val="16"/>
            </w:rPr>
            <w:t>CÓDIGO</w:t>
          </w:r>
          <w:r>
            <w:rPr>
              <w:color w:val="3366FF"/>
              <w:sz w:val="16"/>
              <w:szCs w:val="16"/>
            </w:rPr>
            <w:t xml:space="preserve">: </w:t>
          </w:r>
          <w:r>
            <w:rPr>
              <w:sz w:val="16"/>
              <w:szCs w:val="16"/>
            </w:rPr>
            <w:t>GNV-FO-001</w:t>
          </w:r>
        </w:p>
      </w:tc>
    </w:tr>
    <w:tr w:rsidR="00123B2F" w14:paraId="18636CC9" w14:textId="77777777">
      <w:trPr>
        <w:trHeight w:val="454"/>
      </w:trPr>
      <w:tc>
        <w:tcPr>
          <w:tcW w:w="2361" w:type="dxa"/>
          <w:vMerge/>
          <w:tcBorders>
            <w:top w:val="single" w:sz="4" w:space="0" w:color="000000"/>
            <w:left w:val="single" w:sz="4" w:space="0" w:color="000000"/>
            <w:bottom w:val="single" w:sz="4" w:space="0" w:color="000000"/>
            <w:right w:val="single" w:sz="4" w:space="0" w:color="000000"/>
          </w:tcBorders>
          <w:vAlign w:val="center"/>
        </w:tcPr>
        <w:p w14:paraId="18636CC6" w14:textId="77777777" w:rsidR="00123B2F" w:rsidRDefault="00123B2F">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single" w:sz="4" w:space="0" w:color="000000"/>
            <w:bottom w:val="single" w:sz="4" w:space="0" w:color="000000"/>
            <w:right w:val="single" w:sz="4" w:space="0" w:color="000000"/>
          </w:tcBorders>
          <w:tcMar>
            <w:top w:w="100" w:type="dxa"/>
            <w:left w:w="70" w:type="dxa"/>
            <w:bottom w:w="100" w:type="dxa"/>
            <w:right w:w="70" w:type="dxa"/>
          </w:tcMar>
          <w:vAlign w:val="center"/>
        </w:tcPr>
        <w:p w14:paraId="18636CC7" w14:textId="77777777" w:rsidR="00123B2F" w:rsidRDefault="003C3CEE">
          <w:pPr>
            <w:jc w:val="center"/>
            <w:rPr>
              <w:sz w:val="20"/>
              <w:szCs w:val="20"/>
            </w:rPr>
          </w:pPr>
          <w:r>
            <w:rPr>
              <w:sz w:val="20"/>
              <w:szCs w:val="20"/>
            </w:rPr>
            <w:t>PRESENTACIÓN PROYECTOS DE ACUERDO</w:t>
          </w:r>
        </w:p>
      </w:tc>
      <w:tc>
        <w:tcPr>
          <w:tcW w:w="2234" w:type="dxa"/>
          <w:tcBorders>
            <w:top w:val="single" w:sz="4" w:space="0" w:color="000000"/>
            <w:left w:val="single" w:sz="4" w:space="0" w:color="000000"/>
            <w:bottom w:val="single" w:sz="4" w:space="0" w:color="000000"/>
            <w:right w:val="single" w:sz="4" w:space="0" w:color="000000"/>
          </w:tcBorders>
          <w:tcMar>
            <w:top w:w="100" w:type="dxa"/>
            <w:left w:w="70" w:type="dxa"/>
            <w:bottom w:w="100" w:type="dxa"/>
            <w:right w:w="70" w:type="dxa"/>
          </w:tcMar>
          <w:vAlign w:val="center"/>
        </w:tcPr>
        <w:p w14:paraId="18636CC8" w14:textId="77777777" w:rsidR="00123B2F" w:rsidRDefault="003C3CEE">
          <w:pPr>
            <w:rPr>
              <w:sz w:val="16"/>
              <w:szCs w:val="16"/>
            </w:rPr>
          </w:pPr>
          <w:r>
            <w:rPr>
              <w:sz w:val="16"/>
              <w:szCs w:val="16"/>
            </w:rPr>
            <w:t>VERSIÓN:    02</w:t>
          </w:r>
        </w:p>
      </w:tc>
    </w:tr>
    <w:tr w:rsidR="00123B2F" w14:paraId="18636CCD" w14:textId="77777777">
      <w:trPr>
        <w:trHeight w:val="454"/>
      </w:trPr>
      <w:tc>
        <w:tcPr>
          <w:tcW w:w="2361" w:type="dxa"/>
          <w:vMerge/>
          <w:tcBorders>
            <w:top w:val="single" w:sz="4" w:space="0" w:color="000000"/>
            <w:left w:val="single" w:sz="4" w:space="0" w:color="000000"/>
            <w:bottom w:val="single" w:sz="4" w:space="0" w:color="000000"/>
            <w:right w:val="single" w:sz="4" w:space="0" w:color="000000"/>
          </w:tcBorders>
          <w:vAlign w:val="center"/>
        </w:tcPr>
        <w:p w14:paraId="18636CCA" w14:textId="77777777" w:rsidR="00123B2F" w:rsidRDefault="00123B2F">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single" w:sz="4" w:space="0" w:color="000000"/>
            <w:bottom w:val="single" w:sz="4" w:space="0" w:color="000000"/>
            <w:right w:val="single" w:sz="4" w:space="0" w:color="000000"/>
          </w:tcBorders>
          <w:tcMar>
            <w:top w:w="100" w:type="dxa"/>
            <w:left w:w="70" w:type="dxa"/>
            <w:bottom w:w="100" w:type="dxa"/>
            <w:right w:w="70" w:type="dxa"/>
          </w:tcMar>
          <w:vAlign w:val="center"/>
        </w:tcPr>
        <w:p w14:paraId="18636CCB" w14:textId="77777777" w:rsidR="00123B2F" w:rsidRDefault="00123B2F">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single" w:sz="4" w:space="0" w:color="000000"/>
            <w:bottom w:val="single" w:sz="4" w:space="0" w:color="000000"/>
            <w:right w:val="single" w:sz="4" w:space="0" w:color="000000"/>
          </w:tcBorders>
          <w:tcMar>
            <w:top w:w="100" w:type="dxa"/>
            <w:left w:w="70" w:type="dxa"/>
            <w:bottom w:w="100" w:type="dxa"/>
            <w:right w:w="70" w:type="dxa"/>
          </w:tcMar>
          <w:vAlign w:val="center"/>
        </w:tcPr>
        <w:p w14:paraId="18636CCC" w14:textId="77777777" w:rsidR="00123B2F" w:rsidRDefault="003C3CEE">
          <w:pPr>
            <w:rPr>
              <w:sz w:val="16"/>
              <w:szCs w:val="16"/>
            </w:rPr>
          </w:pPr>
          <w:r>
            <w:rPr>
              <w:sz w:val="16"/>
              <w:szCs w:val="16"/>
            </w:rPr>
            <w:t>FECHA: 14-Nov-2019</w:t>
          </w:r>
        </w:p>
      </w:tc>
    </w:tr>
  </w:tbl>
  <w:p w14:paraId="18636CCE" w14:textId="77777777" w:rsidR="00123B2F" w:rsidRDefault="00123B2F">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91049B7"/>
    <w:multiLevelType w:val="multilevel"/>
    <w:tmpl w:val="7F28C58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3B2F"/>
    <w:rsid w:val="00123B2F"/>
    <w:rsid w:val="003C3CE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636B1A"/>
  <w15:docId w15:val="{B5E0738A-36FF-4657-94CD-76CA50F7A7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next w:val="Normal"/>
    <w:uiPriority w:val="9"/>
    <w:qFormat/>
    <w:pPr>
      <w:keepNext/>
      <w:jc w:val="center"/>
      <w:outlineLvl w:val="0"/>
    </w:pPr>
    <w:rPr>
      <w:rFonts w:ascii="Times New Roman" w:eastAsia="Times New Roman" w:hAnsi="Times New Roman" w:cs="Times New Roman"/>
      <w:color w:val="000000"/>
    </w:rPr>
  </w:style>
  <w:style w:type="paragraph" w:styleId="Ttulo2">
    <w:name w:val="heading 2"/>
    <w:next w:val="Normal"/>
    <w:uiPriority w:val="9"/>
    <w:semiHidden/>
    <w:unhideWhenUsed/>
    <w:qFormat/>
    <w:pPr>
      <w:keepNext/>
      <w:outlineLvl w:val="1"/>
    </w:pPr>
    <w:rPr>
      <w:rFonts w:ascii="Times New Roman" w:eastAsia="Times New Roman" w:hAnsi="Times New Roman" w:cs="Times New Roman"/>
      <w:color w:val="000000"/>
    </w:rPr>
  </w:style>
  <w:style w:type="paragraph" w:styleId="Ttulo3">
    <w:name w:val="heading 3"/>
    <w:next w:val="Normal"/>
    <w:uiPriority w:val="9"/>
    <w:semiHidden/>
    <w:unhideWhenUsed/>
    <w:qFormat/>
    <w:pPr>
      <w:keepNext/>
      <w:keepLines/>
      <w:spacing w:before="280" w:after="80"/>
      <w:outlineLvl w:val="2"/>
    </w:pPr>
    <w:rPr>
      <w:b/>
      <w:sz w:val="28"/>
      <w:szCs w:val="28"/>
    </w:rPr>
  </w:style>
  <w:style w:type="paragraph" w:styleId="Ttulo4">
    <w:name w:val="heading 4"/>
    <w:next w:val="Normal"/>
    <w:uiPriority w:val="9"/>
    <w:semiHidden/>
    <w:unhideWhenUsed/>
    <w:qFormat/>
    <w:pPr>
      <w:keepNext/>
      <w:spacing w:before="240" w:after="60"/>
      <w:outlineLvl w:val="3"/>
    </w:pPr>
    <w:rPr>
      <w:rFonts w:ascii="Times New Roman" w:eastAsia="Times New Roman" w:hAnsi="Times New Roman" w:cs="Times New Roman"/>
      <w:b/>
      <w:color w:val="000000"/>
      <w:sz w:val="28"/>
      <w:szCs w:val="28"/>
    </w:rPr>
  </w:style>
  <w:style w:type="paragraph" w:styleId="Ttulo5">
    <w:name w:val="heading 5"/>
    <w:next w:val="Normal"/>
    <w:uiPriority w:val="9"/>
    <w:semiHidden/>
    <w:unhideWhenUsed/>
    <w:qFormat/>
    <w:pPr>
      <w:keepNext/>
      <w:keepLines/>
      <w:spacing w:before="200"/>
      <w:outlineLvl w:val="4"/>
    </w:pPr>
    <w:rPr>
      <w:rFonts w:ascii="Cambria" w:eastAsia="Cambria" w:hAnsi="Cambria" w:cs="Cambria"/>
      <w:color w:val="243F60"/>
    </w:rPr>
  </w:style>
  <w:style w:type="paragraph" w:styleId="Ttulo6">
    <w:name w:val="heading 6"/>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next w:val="Normal"/>
    <w:uiPriority w:val="10"/>
    <w:qFormat/>
    <w:pPr>
      <w:keepNext/>
      <w:keepLines/>
      <w:spacing w:before="480" w:after="120"/>
    </w:pPr>
    <w:rPr>
      <w:b/>
      <w:sz w:val="72"/>
      <w:szCs w:val="72"/>
    </w:rPr>
  </w:style>
  <w:style w:type="paragraph" w:styleId="Textodeglobo">
    <w:name w:val="Balloon Text"/>
    <w:basedOn w:val="Normal"/>
    <w:link w:val="TextodegloboCar"/>
    <w:uiPriority w:val="99"/>
    <w:semiHidden/>
    <w:unhideWhenUsed/>
    <w:qFormat/>
    <w:rPr>
      <w:rFonts w:ascii="Segoe UI" w:hAnsi="Segoe UI" w:cs="Segoe UI"/>
      <w:sz w:val="18"/>
      <w:szCs w:val="18"/>
    </w:rPr>
  </w:style>
  <w:style w:type="character" w:styleId="Refdecomentario">
    <w:name w:val="annotation reference"/>
    <w:basedOn w:val="Fuentedeprrafopredeter"/>
    <w:uiPriority w:val="99"/>
    <w:semiHidden/>
    <w:unhideWhenUsed/>
    <w:qFormat/>
    <w:rPr>
      <w:sz w:val="16"/>
      <w:szCs w:val="16"/>
    </w:rPr>
  </w:style>
  <w:style w:type="paragraph" w:styleId="Textocomentario">
    <w:name w:val="annotation text"/>
    <w:basedOn w:val="Normal"/>
    <w:link w:val="TextocomentarioCar"/>
    <w:uiPriority w:val="99"/>
    <w:semiHidden/>
    <w:unhideWhenUsed/>
    <w:qFormat/>
    <w:rPr>
      <w:sz w:val="20"/>
      <w:szCs w:val="20"/>
    </w:rPr>
  </w:style>
  <w:style w:type="paragraph" w:styleId="Piedepgina">
    <w:name w:val="footer"/>
    <w:basedOn w:val="Normal"/>
    <w:link w:val="PiedepginaCar"/>
    <w:uiPriority w:val="99"/>
    <w:unhideWhenUsed/>
    <w:qFormat/>
    <w:pPr>
      <w:tabs>
        <w:tab w:val="center" w:pos="4419"/>
        <w:tab w:val="right" w:pos="8838"/>
      </w:tabs>
    </w:pPr>
  </w:style>
  <w:style w:type="character" w:styleId="Refdenotaalpie">
    <w:name w:val="footnote reference"/>
    <w:basedOn w:val="Fuentedeprrafopredeter"/>
    <w:uiPriority w:val="99"/>
    <w:semiHidden/>
    <w:unhideWhenUsed/>
    <w:qFormat/>
    <w:rPr>
      <w:vertAlign w:val="superscript"/>
    </w:rPr>
  </w:style>
  <w:style w:type="paragraph" w:styleId="Textonotapie">
    <w:name w:val="footnote text"/>
    <w:basedOn w:val="Normal"/>
    <w:link w:val="TextonotapieCar"/>
    <w:uiPriority w:val="99"/>
    <w:semiHidden/>
    <w:unhideWhenUsed/>
    <w:qFormat/>
    <w:rPr>
      <w:rFonts w:asciiTheme="minorHAnsi" w:eastAsiaTheme="minorHAnsi" w:hAnsiTheme="minorHAnsi" w:cstheme="minorBidi"/>
      <w:sz w:val="20"/>
      <w:szCs w:val="20"/>
      <w:lang w:val="es-CO" w:eastAsia="en-US"/>
    </w:rPr>
  </w:style>
  <w:style w:type="paragraph" w:styleId="Encabezado">
    <w:name w:val="header"/>
    <w:basedOn w:val="Normal"/>
    <w:link w:val="EncabezadoCar"/>
    <w:uiPriority w:val="99"/>
    <w:unhideWhenUsed/>
    <w:qFormat/>
    <w:pPr>
      <w:tabs>
        <w:tab w:val="center" w:pos="4419"/>
        <w:tab w:val="right" w:pos="8838"/>
      </w:tabs>
    </w:pPr>
  </w:style>
  <w:style w:type="character" w:styleId="Hipervnculo">
    <w:name w:val="Hyperlink"/>
    <w:basedOn w:val="Fuentedeprrafopredeter"/>
    <w:uiPriority w:val="99"/>
    <w:unhideWhenUsed/>
    <w:qFormat/>
    <w:rPr>
      <w:color w:val="0000FF" w:themeColor="hyperlink"/>
      <w:u w:val="single"/>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TableNormal1">
    <w:name w:val="Table Normal1"/>
    <w:tblPr>
      <w:tblCellMar>
        <w:top w:w="0" w:type="dxa"/>
        <w:left w:w="0" w:type="dxa"/>
        <w:bottom w:w="0" w:type="dxa"/>
        <w:right w:w="0" w:type="dxa"/>
      </w:tblCellMar>
    </w:tblPr>
  </w:style>
  <w:style w:type="table" w:customStyle="1" w:styleId="TableNormal2">
    <w:name w:val="Table Normal2"/>
    <w:qFormat/>
    <w:tblPr>
      <w:tblCellMar>
        <w:top w:w="0" w:type="dxa"/>
        <w:left w:w="0" w:type="dxa"/>
        <w:bottom w:w="0" w:type="dxa"/>
        <w:right w:w="0" w:type="dxa"/>
      </w:tblCellMar>
    </w:tblPr>
  </w:style>
  <w:style w:type="table" w:customStyle="1" w:styleId="TableNormal3">
    <w:name w:val="Table Normal3"/>
    <w:qFormat/>
    <w:tblPr>
      <w:tblCellMar>
        <w:top w:w="0" w:type="dxa"/>
        <w:left w:w="0" w:type="dxa"/>
        <w:bottom w:w="0" w:type="dxa"/>
        <w:right w:w="0" w:type="dxa"/>
      </w:tblCellMar>
    </w:tblPr>
  </w:style>
  <w:style w:type="table" w:customStyle="1" w:styleId="TableNormal4">
    <w:name w:val="Table Normal4"/>
    <w:qFormat/>
    <w:tblPr>
      <w:tblCellMar>
        <w:top w:w="0" w:type="dxa"/>
        <w:left w:w="0" w:type="dxa"/>
        <w:bottom w:w="0" w:type="dxa"/>
        <w:right w:w="0" w:type="dxa"/>
      </w:tblCellMar>
    </w:tblPr>
  </w:style>
  <w:style w:type="table" w:customStyle="1" w:styleId="TableNormal5">
    <w:name w:val="Table Normal5"/>
    <w:qFormat/>
    <w:tblPr>
      <w:tblCellMar>
        <w:top w:w="0" w:type="dxa"/>
        <w:left w:w="0" w:type="dxa"/>
        <w:bottom w:w="0" w:type="dxa"/>
        <w:right w:w="0" w:type="dxa"/>
      </w:tblCellMar>
    </w:tblPr>
  </w:style>
  <w:style w:type="table" w:customStyle="1" w:styleId="TableNormal6">
    <w:name w:val="Table Normal6"/>
    <w:qFormat/>
    <w:tblPr>
      <w:tblCellMar>
        <w:top w:w="0" w:type="dxa"/>
        <w:left w:w="0" w:type="dxa"/>
        <w:bottom w:w="0" w:type="dxa"/>
        <w:right w:w="0" w:type="dxa"/>
      </w:tblCellMar>
    </w:tblPr>
  </w:style>
  <w:style w:type="table" w:customStyle="1" w:styleId="TableNormal7">
    <w:name w:val="Table Normal7"/>
    <w:qFormat/>
    <w:tblPr>
      <w:tblCellMar>
        <w:top w:w="0" w:type="dxa"/>
        <w:left w:w="0" w:type="dxa"/>
        <w:bottom w:w="0" w:type="dxa"/>
        <w:right w:w="0" w:type="dxa"/>
      </w:tblCellMar>
    </w:tblPr>
  </w:style>
  <w:style w:type="table" w:customStyle="1" w:styleId="TableNormal8">
    <w:name w:val="Table Normal8"/>
    <w:qFormat/>
    <w:tblPr>
      <w:tblCellMar>
        <w:top w:w="0" w:type="dxa"/>
        <w:left w:w="0" w:type="dxa"/>
        <w:bottom w:w="0" w:type="dxa"/>
        <w:right w:w="0" w:type="dxa"/>
      </w:tblCellMar>
    </w:tblPr>
  </w:style>
  <w:style w:type="table" w:customStyle="1" w:styleId="TableNormal9">
    <w:name w:val="Table Normal9"/>
    <w:qFormat/>
    <w:tblPr>
      <w:tblCellMar>
        <w:top w:w="0" w:type="dxa"/>
        <w:left w:w="0" w:type="dxa"/>
        <w:bottom w:w="0" w:type="dxa"/>
        <w:right w:w="0" w:type="dxa"/>
      </w:tblCellMar>
    </w:tblPr>
  </w:style>
  <w:style w:type="table" w:customStyle="1" w:styleId="TableNormal10">
    <w:name w:val="Table Normal10"/>
    <w:qFormat/>
    <w:tblPr>
      <w:tblCellMar>
        <w:top w:w="0" w:type="dxa"/>
        <w:left w:w="0" w:type="dxa"/>
        <w:bottom w:w="0" w:type="dxa"/>
        <w:right w:w="0" w:type="dxa"/>
      </w:tblCellMar>
    </w:tblPr>
  </w:style>
  <w:style w:type="table" w:customStyle="1" w:styleId="TableNormal11">
    <w:name w:val="Table Normal11"/>
    <w:qFormat/>
    <w:tblPr>
      <w:tblCellMar>
        <w:top w:w="0" w:type="dxa"/>
        <w:left w:w="0" w:type="dxa"/>
        <w:bottom w:w="0" w:type="dxa"/>
        <w:right w:w="0" w:type="dxa"/>
      </w:tblCellMar>
    </w:tblPr>
  </w:style>
  <w:style w:type="table" w:customStyle="1" w:styleId="TableNormal12">
    <w:name w:val="Table Normal12"/>
    <w:qFormat/>
    <w:tblPr>
      <w:tblCellMar>
        <w:top w:w="0" w:type="dxa"/>
        <w:left w:w="0" w:type="dxa"/>
        <w:bottom w:w="0" w:type="dxa"/>
        <w:right w:w="0" w:type="dxa"/>
      </w:tblCellMar>
    </w:tblPr>
  </w:style>
  <w:style w:type="table" w:customStyle="1" w:styleId="TableNormal13">
    <w:name w:val="Table Normal13"/>
    <w:qFormat/>
    <w:tblPr>
      <w:tblCellMar>
        <w:top w:w="0" w:type="dxa"/>
        <w:left w:w="0" w:type="dxa"/>
        <w:bottom w:w="0" w:type="dxa"/>
        <w:right w:w="0" w:type="dxa"/>
      </w:tblCellMar>
    </w:tblPr>
  </w:style>
  <w:style w:type="table" w:customStyle="1" w:styleId="Style40">
    <w:name w:val="_Style 40"/>
    <w:basedOn w:val="TableNormal13"/>
    <w:qFormat/>
    <w:tblPr>
      <w:tblCellMar>
        <w:left w:w="70" w:type="dxa"/>
        <w:right w:w="70" w:type="dxa"/>
      </w:tblCellMar>
    </w:tblPr>
  </w:style>
  <w:style w:type="character" w:customStyle="1" w:styleId="TextocomentarioCar">
    <w:name w:val="Texto comentario Car"/>
    <w:basedOn w:val="Fuentedeprrafopredeter"/>
    <w:link w:val="Textocomentario"/>
    <w:uiPriority w:val="99"/>
    <w:semiHidden/>
    <w:qFormat/>
    <w:rPr>
      <w:sz w:val="20"/>
      <w:szCs w:val="20"/>
    </w:rPr>
  </w:style>
  <w:style w:type="character" w:customStyle="1" w:styleId="TextodegloboCar">
    <w:name w:val="Texto de globo Car"/>
    <w:basedOn w:val="Fuentedeprrafopredeter"/>
    <w:link w:val="Textodeglobo"/>
    <w:uiPriority w:val="99"/>
    <w:semiHidden/>
    <w:qFormat/>
    <w:rPr>
      <w:rFonts w:ascii="Segoe UI" w:hAnsi="Segoe UI" w:cs="Segoe UI"/>
      <w:sz w:val="18"/>
      <w:szCs w:val="18"/>
    </w:rPr>
  </w:style>
  <w:style w:type="paragraph" w:customStyle="1" w:styleId="Revisin1">
    <w:name w:val="Revisión1"/>
    <w:hidden/>
    <w:uiPriority w:val="99"/>
    <w:semiHidden/>
    <w:qFormat/>
  </w:style>
  <w:style w:type="character" w:customStyle="1" w:styleId="EncabezadoCar">
    <w:name w:val="Encabezado Car"/>
    <w:basedOn w:val="Fuentedeprrafopredeter"/>
    <w:link w:val="Encabezado"/>
    <w:uiPriority w:val="99"/>
    <w:qFormat/>
  </w:style>
  <w:style w:type="character" w:customStyle="1" w:styleId="PiedepginaCar">
    <w:name w:val="Pie de página Car"/>
    <w:basedOn w:val="Fuentedeprrafopredeter"/>
    <w:link w:val="Piedepgina"/>
    <w:uiPriority w:val="99"/>
    <w:qFormat/>
  </w:style>
  <w:style w:type="table" w:customStyle="1" w:styleId="Style51">
    <w:name w:val="_Style 51"/>
    <w:basedOn w:val="TableNormal13"/>
    <w:qFormat/>
    <w:tblPr>
      <w:tblCellMar>
        <w:left w:w="70" w:type="dxa"/>
        <w:right w:w="70" w:type="dxa"/>
      </w:tblCellMar>
    </w:tblPr>
  </w:style>
  <w:style w:type="table" w:customStyle="1" w:styleId="Style52">
    <w:name w:val="_Style 52"/>
    <w:basedOn w:val="TableNormal13"/>
    <w:qFormat/>
    <w:tblPr>
      <w:tblCellMar>
        <w:left w:w="70" w:type="dxa"/>
        <w:right w:w="70" w:type="dxa"/>
      </w:tblCellMar>
    </w:tblPr>
  </w:style>
  <w:style w:type="table" w:customStyle="1" w:styleId="Style53">
    <w:name w:val="_Style 53"/>
    <w:basedOn w:val="TableNormal13"/>
    <w:qFormat/>
    <w:tblPr>
      <w:tblCellMar>
        <w:top w:w="100" w:type="dxa"/>
        <w:left w:w="100" w:type="dxa"/>
        <w:bottom w:w="100" w:type="dxa"/>
        <w:right w:w="100" w:type="dxa"/>
      </w:tblCellMar>
    </w:tblPr>
  </w:style>
  <w:style w:type="table" w:customStyle="1" w:styleId="Style54">
    <w:name w:val="_Style 54"/>
    <w:basedOn w:val="TableNormal13"/>
    <w:qFormat/>
    <w:tblPr>
      <w:tblCellMar>
        <w:left w:w="70" w:type="dxa"/>
        <w:right w:w="70" w:type="dxa"/>
      </w:tblCellMar>
    </w:tblPr>
  </w:style>
  <w:style w:type="table" w:customStyle="1" w:styleId="Style55">
    <w:name w:val="_Style 55"/>
    <w:basedOn w:val="TableNormal13"/>
    <w:qFormat/>
    <w:tblPr>
      <w:tblCellMar>
        <w:left w:w="70" w:type="dxa"/>
        <w:right w:w="70" w:type="dxa"/>
      </w:tblCellMar>
    </w:tblPr>
  </w:style>
  <w:style w:type="table" w:customStyle="1" w:styleId="Style56">
    <w:name w:val="_Style 56"/>
    <w:basedOn w:val="TableNormal13"/>
    <w:qFormat/>
    <w:tblPr>
      <w:tblCellMar>
        <w:left w:w="70" w:type="dxa"/>
        <w:right w:w="70" w:type="dxa"/>
      </w:tblCellMar>
    </w:tblPr>
  </w:style>
  <w:style w:type="table" w:customStyle="1" w:styleId="Style57">
    <w:name w:val="_Style 57"/>
    <w:basedOn w:val="TableNormal13"/>
    <w:qFormat/>
    <w:tblPr>
      <w:tblCellMar>
        <w:left w:w="70" w:type="dxa"/>
        <w:right w:w="70" w:type="dxa"/>
      </w:tblCellMar>
    </w:tblPr>
  </w:style>
  <w:style w:type="table" w:customStyle="1" w:styleId="Style58">
    <w:name w:val="_Style 58"/>
    <w:basedOn w:val="TableNormal13"/>
    <w:qFormat/>
    <w:tblPr>
      <w:tblCellMar>
        <w:top w:w="100" w:type="dxa"/>
        <w:left w:w="100" w:type="dxa"/>
        <w:bottom w:w="100" w:type="dxa"/>
        <w:right w:w="100" w:type="dxa"/>
      </w:tblCellMar>
    </w:tblPr>
  </w:style>
  <w:style w:type="table" w:customStyle="1" w:styleId="Style59">
    <w:name w:val="_Style 59"/>
    <w:basedOn w:val="TableNormal13"/>
    <w:qFormat/>
    <w:tblPr>
      <w:tblCellMar>
        <w:top w:w="100" w:type="dxa"/>
        <w:left w:w="100" w:type="dxa"/>
        <w:bottom w:w="100" w:type="dxa"/>
        <w:right w:w="100" w:type="dxa"/>
      </w:tblCellMar>
    </w:tblPr>
  </w:style>
  <w:style w:type="table" w:customStyle="1" w:styleId="Style60">
    <w:name w:val="_Style 60"/>
    <w:basedOn w:val="TableNormal13"/>
    <w:qFormat/>
    <w:tblPr>
      <w:tblCellMar>
        <w:left w:w="70" w:type="dxa"/>
        <w:right w:w="70" w:type="dxa"/>
      </w:tblCellMar>
    </w:tblPr>
  </w:style>
  <w:style w:type="paragraph" w:styleId="Prrafodelista">
    <w:name w:val="List Paragraph"/>
    <w:basedOn w:val="Normal"/>
    <w:uiPriority w:val="34"/>
    <w:qFormat/>
    <w:pPr>
      <w:ind w:left="720"/>
      <w:contextualSpacing/>
    </w:pPr>
  </w:style>
  <w:style w:type="table" w:customStyle="1" w:styleId="Style62">
    <w:name w:val="_Style 62"/>
    <w:basedOn w:val="TableNormal6"/>
    <w:qFormat/>
    <w:tblPr>
      <w:tblCellMar>
        <w:top w:w="100" w:type="dxa"/>
        <w:left w:w="100" w:type="dxa"/>
        <w:bottom w:w="100" w:type="dxa"/>
        <w:right w:w="100" w:type="dxa"/>
      </w:tblCellMar>
    </w:tblPr>
  </w:style>
  <w:style w:type="table" w:customStyle="1" w:styleId="Style63">
    <w:name w:val="_Style 63"/>
    <w:basedOn w:val="TableNormal6"/>
    <w:qFormat/>
    <w:tblPr>
      <w:tblCellMar>
        <w:top w:w="100" w:type="dxa"/>
        <w:left w:w="70" w:type="dxa"/>
        <w:bottom w:w="100" w:type="dxa"/>
        <w:right w:w="70" w:type="dxa"/>
      </w:tblCellMar>
    </w:tblPr>
  </w:style>
  <w:style w:type="table" w:customStyle="1" w:styleId="Style64">
    <w:name w:val="_Style 64"/>
    <w:basedOn w:val="TableNormal5"/>
    <w:qFormat/>
    <w:tblPr>
      <w:tblCellMar>
        <w:top w:w="100" w:type="dxa"/>
        <w:left w:w="70" w:type="dxa"/>
        <w:bottom w:w="100" w:type="dxa"/>
        <w:right w:w="70" w:type="dxa"/>
      </w:tblCellMar>
    </w:tblPr>
  </w:style>
  <w:style w:type="table" w:customStyle="1" w:styleId="Style65">
    <w:name w:val="_Style 65"/>
    <w:basedOn w:val="TableNormal4"/>
    <w:qFormat/>
    <w:tblPr>
      <w:tblCellMar>
        <w:top w:w="100" w:type="dxa"/>
        <w:left w:w="70" w:type="dxa"/>
        <w:bottom w:w="100" w:type="dxa"/>
        <w:right w:w="70" w:type="dxa"/>
      </w:tblCellMar>
    </w:tblPr>
  </w:style>
  <w:style w:type="character" w:customStyle="1" w:styleId="TextonotapieCar">
    <w:name w:val="Texto nota pie Car"/>
    <w:basedOn w:val="Fuentedeprrafopredeter"/>
    <w:link w:val="Textonotapie"/>
    <w:uiPriority w:val="99"/>
    <w:semiHidden/>
    <w:qFormat/>
    <w:rPr>
      <w:rFonts w:asciiTheme="minorHAnsi" w:eastAsiaTheme="minorHAnsi" w:hAnsiTheme="minorHAnsi" w:cstheme="minorBidi"/>
      <w:sz w:val="20"/>
      <w:szCs w:val="20"/>
      <w:lang w:val="es-CO" w:eastAsia="en-US"/>
    </w:rPr>
  </w:style>
  <w:style w:type="character" w:customStyle="1" w:styleId="UnresolvedMention">
    <w:name w:val="Unresolved Mention"/>
    <w:basedOn w:val="Fuentedeprrafopredeter"/>
    <w:uiPriority w:val="99"/>
    <w:semiHidden/>
    <w:unhideWhenUsed/>
    <w:qFormat/>
    <w:rPr>
      <w:color w:val="605E5C"/>
      <w:shd w:val="clear" w:color="auto" w:fill="E1DFDD"/>
    </w:rPr>
  </w:style>
  <w:style w:type="table" w:customStyle="1" w:styleId="Style72">
    <w:name w:val="_Style 72"/>
    <w:basedOn w:val="TableNormal1"/>
    <w:qFormat/>
    <w:tblPr>
      <w:tblCellMar>
        <w:top w:w="100" w:type="dxa"/>
        <w:left w:w="70" w:type="dxa"/>
        <w:bottom w:w="100" w:type="dxa"/>
        <w:right w:w="70" w:type="dxa"/>
      </w:tblCellMar>
    </w:tblPr>
  </w:style>
  <w:style w:type="table" w:customStyle="1" w:styleId="Style74">
    <w:name w:val="_Style 74"/>
    <w:qFormat/>
    <w:tblPr>
      <w:tblCellMar>
        <w:top w:w="100" w:type="dxa"/>
        <w:left w:w="100" w:type="dxa"/>
        <w:bottom w:w="100" w:type="dxa"/>
        <w:right w:w="100" w:type="dxa"/>
      </w:tblCellMar>
    </w:tblPr>
  </w:style>
  <w:style w:type="table" w:customStyle="1" w:styleId="Style75">
    <w:name w:val="_Style 75"/>
    <w:basedOn w:val="TableNormal1"/>
    <w:qFormat/>
    <w:tblPr>
      <w:tblCellMar>
        <w:top w:w="100" w:type="dxa"/>
        <w:left w:w="100" w:type="dxa"/>
        <w:bottom w:w="100" w:type="dxa"/>
        <w:right w:w="100" w:type="dxa"/>
      </w:tblCellMar>
    </w:tblPr>
  </w:style>
  <w:style w:type="table" w:customStyle="1" w:styleId="Style76">
    <w:name w:val="_Style 76"/>
    <w:basedOn w:val="TableNormal1"/>
    <w:qFormat/>
    <w:tblPr>
      <w:tblCellMar>
        <w:top w:w="100" w:type="dxa"/>
        <w:left w:w="100" w:type="dxa"/>
        <w:bottom w:w="100" w:type="dxa"/>
        <w:right w:w="100" w:type="dxa"/>
      </w:tblCellMar>
    </w:tblPr>
  </w:style>
  <w:style w:type="table" w:customStyle="1" w:styleId="Style77">
    <w:name w:val="_Style 77"/>
    <w:basedOn w:val="TableNormal1"/>
    <w:qFormat/>
    <w:tblPr>
      <w:tblCellMar>
        <w:top w:w="100" w:type="dxa"/>
        <w:left w:w="70" w:type="dxa"/>
        <w:bottom w:w="100" w:type="dxa"/>
        <w:right w:w="70" w:type="dxa"/>
      </w:tblCellMar>
    </w:tbl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70" w:type="dxa"/>
        <w:bottom w:w="10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footnotes.xml.rels><?xml version="1.0" encoding="UTF-8" standalone="yes"?>
<Relationships xmlns="http://schemas.openxmlformats.org/package/2006/relationships"><Relationship Id="rId13" Type="http://schemas.openxmlformats.org/officeDocument/2006/relationships/hyperlink" Target="https://www.banrepcultural.org/biblioteca-virtual/credencial-historia/numero-263/industria-salinera-en-colombia-la-ruta-de-la-sal" TargetMode="External"/><Relationship Id="rId18" Type="http://schemas.openxmlformats.org/officeDocument/2006/relationships/hyperlink" Target="https://www.revistalabarra.com/es/noticias/panorama-actual-de-las-panaderias-en-colombia" TargetMode="External"/><Relationship Id="rId26" Type="http://schemas.openxmlformats.org/officeDocument/2006/relationships/hyperlink" Target="http://repositorio.umaza.edu.ar/bitstream/handle/00261/2141/ICU%20V4N5_Raimondo_Mejoramiento%20del%20perfil%20nutricional%20del%20pan_2020.pdf?sequence=1&amp;isAllowed=y" TargetMode="External"/><Relationship Id="rId21" Type="http://schemas.openxmlformats.org/officeDocument/2006/relationships/hyperlink" Target="https://www.sectorial.co/informativa-industria-panificadora-y-de-pastas-itemlist/item/284711-los-retos-de-la-industria-panificadora" TargetMode="External"/><Relationship Id="rId34" Type="http://schemas.openxmlformats.org/officeDocument/2006/relationships/hyperlink" Target="https://www.sdp.gov.co/sites/default/files/conpes_09_sdde_pp_san_aprobado.pdf" TargetMode="External"/><Relationship Id="rId7" Type="http://schemas.openxmlformats.org/officeDocument/2006/relationships/hyperlink" Target="https://www.elcolombiano.com/negocios/maiz-trigo-y-soya-por-que-colombia-no-es-autosuficiente-BL15962461" TargetMode="External"/><Relationship Id="rId12" Type="http://schemas.openxmlformats.org/officeDocument/2006/relationships/hyperlink" Target="https://www.ceac.es/blog/tipos-de-azucar-aplicados-en-reposteria-y-pasteleria" TargetMode="External"/><Relationship Id="rId17" Type="http://schemas.openxmlformats.org/officeDocument/2006/relationships/hyperlink" Target="https://duquesa.com.co/desafios-sector-panadero-colombia/" TargetMode="External"/><Relationship Id="rId25" Type="http://schemas.openxmlformats.org/officeDocument/2006/relationships/hyperlink" Target="http://www.saludcapital.gov.co/DSP/Lab_sp_vac/Panela_Harinas/Decreto_1944_1996.pdf" TargetMode="External"/><Relationship Id="rId33" Type="http://schemas.openxmlformats.org/officeDocument/2006/relationships/hyperlink" Target="https://www.icbf.gov.co/cargues/avance/docs/decreto_1944_1996.htm" TargetMode="External"/><Relationship Id="rId38" Type="http://schemas.openxmlformats.org/officeDocument/2006/relationships/hyperlink" Target="https://www.lafm.com.co/bogota/colombia-bate-record-con-el-pan-de-cafe-mas-largo-del-mundo" TargetMode="External"/><Relationship Id="rId2" Type="http://schemas.openxmlformats.org/officeDocument/2006/relationships/hyperlink" Target="https://business-intelligence.grupobit.net/blog/todo-sobre-uno-de-los-productos-estrella-de-la-canasta-familiar-colombiana" TargetMode="External"/><Relationship Id="rId16" Type="http://schemas.openxmlformats.org/officeDocument/2006/relationships/hyperlink" Target="https://www.revistalabarra.com/es/noticias/panorama-actual-de-las-panaderias-en-colombia" TargetMode="External"/><Relationship Id="rId20" Type="http://schemas.openxmlformats.org/officeDocument/2006/relationships/hyperlink" Target="https://www.sectorial.co/informativa-industria-panificadora-y-de-pastas-itemlist/item/284711-los-retos-de-la-industria-panificadora" TargetMode="External"/><Relationship Id="rId29" Type="http://schemas.openxmlformats.org/officeDocument/2006/relationships/hyperlink" Target="https://analitica.scj.gov.co/analytics/saw.dll?Portal" TargetMode="External"/><Relationship Id="rId1" Type="http://schemas.openxmlformats.org/officeDocument/2006/relationships/hyperlink" Target="https://duquesa.com.co/desafios-sector-panadero-colombia/" TargetMode="External"/><Relationship Id="rId6" Type="http://schemas.openxmlformats.org/officeDocument/2006/relationships/hyperlink" Target="https://www.revistapancaliente.co/actualidad/consumo-de-trigo-en-colombia/" TargetMode="External"/><Relationship Id="rId11" Type="http://schemas.openxmlformats.org/officeDocument/2006/relationships/hyperlink" Target="https://www.banrep.gov.co/sites/default/files/publicaciones/archivos/DTSER35-Salinas.pdf" TargetMode="External"/><Relationship Id="rId24" Type="http://schemas.openxmlformats.org/officeDocument/2006/relationships/hyperlink" Target="https://www.unido.org/sites/default/files/2008-06/1-Textbook_0.pdf" TargetMode="External"/><Relationship Id="rId32" Type="http://schemas.openxmlformats.org/officeDocument/2006/relationships/hyperlink" Target="https://www.oas.org/es/sadye/inclusion-social/protocolo-ssv/docs/protocolo-san-salvador-es.pdf" TargetMode="External"/><Relationship Id="rId37" Type="http://schemas.openxmlformats.org/officeDocument/2006/relationships/hyperlink" Target="https://sisjur.bogotajuridica.gov.co/sisjur/normas/Norma1.jsp?i=155699" TargetMode="External"/><Relationship Id="rId5" Type="http://schemas.openxmlformats.org/officeDocument/2006/relationships/hyperlink" Target="https://www.redalyc.org/pdf/724/72430508.pdf" TargetMode="External"/><Relationship Id="rId15" Type="http://schemas.openxmlformats.org/officeDocument/2006/relationships/hyperlink" Target="https://www.revistapancaliente.co/actualidad/panorama-del-trigo-en-el-2022/" TargetMode="External"/><Relationship Id="rId23" Type="http://schemas.openxmlformats.org/officeDocument/2006/relationships/hyperlink" Target="https://www.lavanguardia.com/vivo/ecologia/20170309/42677318720/pan-medio-ambiente-fertilizantes-contaminantes-gases-efecto-invernadero.html" TargetMode="External"/><Relationship Id="rId28" Type="http://schemas.openxmlformats.org/officeDocument/2006/relationships/hyperlink" Target="https://www.elsevier.es/es-revista-revista-medica-clinica-las-condes-202-articulo-enfermedad-celiaca-revision-S0716864015001261" TargetMode="External"/><Relationship Id="rId36" Type="http://schemas.openxmlformats.org/officeDocument/2006/relationships/hyperlink" Target="https://sisjur.bogotajuridica.gov.co/sisjur/normas/Norma1.jsp?i=155699" TargetMode="External"/><Relationship Id="rId10" Type="http://schemas.openxmlformats.org/officeDocument/2006/relationships/hyperlink" Target="https://www.banrepcultural.org/biblioteca-virtual/credencial-historia/numero-263/industria-salinera-en-colombia-la-ruta-de-la-sal" TargetMode="External"/><Relationship Id="rId19" Type="http://schemas.openxmlformats.org/officeDocument/2006/relationships/hyperlink" Target="https://www.revistapancaliente.co/actualidad/panorama-del-trigo-en-el-2022/" TargetMode="External"/><Relationship Id="rId31" Type="http://schemas.openxmlformats.org/officeDocument/2006/relationships/hyperlink" Target="https://www.un.org/es/events/childrenday/pdf/derechos.pdf" TargetMode="External"/><Relationship Id="rId4" Type="http://schemas.openxmlformats.org/officeDocument/2006/relationships/hyperlink" Target="https://www.rankia.co/blog/dian/3939697-iva-canasta-familiar-productos-tarifas" TargetMode="External"/><Relationship Id="rId9" Type="http://schemas.openxmlformats.org/officeDocument/2006/relationships/hyperlink" Target="https://www.minsalud.gov.co/salud/Paginas/ABC-reduccion-consumo-sals-odio.aspx" TargetMode="External"/><Relationship Id="rId14" Type="http://schemas.openxmlformats.org/officeDocument/2006/relationships/hyperlink" Target="https://www.portafolio.co/economia/finanzas/el-pais-importa-1-9-millones-de-toneladas-de-trigo-567510" TargetMode="External"/><Relationship Id="rId22" Type="http://schemas.openxmlformats.org/officeDocument/2006/relationships/hyperlink" Target="https://www.sectorial.co/informativa-industria-panificadora-y-de-pastas-itemlist/item/648214-la-produccion-de-pandebono-se-ha-reducido-en-un-50-aproximadamente" TargetMode="External"/><Relationship Id="rId27" Type="http://schemas.openxmlformats.org/officeDocument/2006/relationships/hyperlink" Target="https://repository.uaeh.edu.mx/revistas/index.php/icea/article/view/9683/9608" TargetMode="External"/><Relationship Id="rId30" Type="http://schemas.openxmlformats.org/officeDocument/2006/relationships/hyperlink" Target="https://www.ohchr.org/sites/default/files/Documents/ProfessionalInterest/cescr_SP.pdf" TargetMode="External"/><Relationship Id="rId35" Type="http://schemas.openxmlformats.org/officeDocument/2006/relationships/hyperlink" Target="http://www.secretariasenado.gov.co/senado/basedoc/ley_2294_2023.html" TargetMode="External"/><Relationship Id="rId8" Type="http://schemas.openxmlformats.org/officeDocument/2006/relationships/hyperlink" Target="https://www.andi.com.co/Home/Noticia/17105-la-industria-molinera-de-trigo-en-colom" TargetMode="External"/><Relationship Id="rId3" Type="http://schemas.openxmlformats.org/officeDocument/2006/relationships/hyperlink" Target="https://www.sectorial.co/informativa-industria-panificadora-y-de-pastas-itemlist/item/284711-los-retos-de-la-industria-panific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qrGDVLpa4K2Rhdnpe6H00vkzuA==">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30</Pages>
  <Words>7549</Words>
  <Characters>41523</Characters>
  <Application>Microsoft Office Word</Application>
  <DocSecurity>0</DocSecurity>
  <Lines>346</Lines>
  <Paragraphs>97</Paragraphs>
  <ScaleCrop>false</ScaleCrop>
  <Company/>
  <LinksUpToDate>false</LinksUpToDate>
  <CharactersWithSpaces>48975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SERGIO ALEXANDER MARTINEZ LOPEZ</dc:creator>
  <cp:lastModifiedBy>CLAUDIA TERESA SUAREZ NIÑO</cp:lastModifiedBy>
  <cp:revision>2</cp:revision>
  <dcterms:created xsi:type="dcterms:W3CDTF">2023-02-02T02:22:00Z</dcterms:created>
  <dcterms:modified xsi:type="dcterms:W3CDTF">2025-01-11T22:26:00Z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1033-12.2.0.13359</vt:lpwstr>
  </property>
  <property fmtid="{D5CDD505-2E9C-101B-9397-08002B2CF9AE}" pid="3" name="ICV">
    <vt:lpwstr>31B63297017A429992BE9B082124B715_12</vt:lpwstr>
  </property>
</Properties>
</file>